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1.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17724" w14:textId="77777777" w:rsidR="00792472" w:rsidRDefault="00792472" w:rsidP="00792472"/>
    <w:p w14:paraId="4E64A5F9" w14:textId="77777777" w:rsidR="00792472" w:rsidRPr="00792472" w:rsidRDefault="00792472" w:rsidP="00792472">
      <w:pPr>
        <w:jc w:val="center"/>
        <w:rPr>
          <w:b/>
          <w:bCs/>
          <w:sz w:val="28"/>
          <w:szCs w:val="28"/>
        </w:rPr>
      </w:pPr>
      <w:r w:rsidRPr="00792472">
        <w:rPr>
          <w:b/>
          <w:bCs/>
          <w:sz w:val="28"/>
          <w:szCs w:val="28"/>
        </w:rPr>
        <w:t>JAVNA VATROGASNA POSTROJBA GRADA KRKA</w:t>
      </w:r>
    </w:p>
    <w:p w14:paraId="06403214" w14:textId="77777777" w:rsidR="00792472" w:rsidRPr="00792472" w:rsidRDefault="00792472" w:rsidP="00792472">
      <w:pPr>
        <w:jc w:val="center"/>
        <w:rPr>
          <w:b/>
          <w:bCs/>
          <w:sz w:val="28"/>
          <w:szCs w:val="28"/>
        </w:rPr>
      </w:pPr>
    </w:p>
    <w:p w14:paraId="050461BB" w14:textId="4534E1D4" w:rsidR="00792472" w:rsidRPr="00792472" w:rsidRDefault="00792472" w:rsidP="00CA5E44">
      <w:pPr>
        <w:rPr>
          <w:b/>
          <w:bCs/>
          <w:sz w:val="28"/>
          <w:szCs w:val="28"/>
        </w:rPr>
      </w:pPr>
    </w:p>
    <w:p w14:paraId="1425EBEC" w14:textId="57146DC7" w:rsidR="00792472" w:rsidRPr="00792472" w:rsidRDefault="00792472" w:rsidP="00792472">
      <w:pPr>
        <w:jc w:val="center"/>
        <w:rPr>
          <w:b/>
          <w:bCs/>
          <w:sz w:val="28"/>
          <w:szCs w:val="28"/>
        </w:rPr>
      </w:pPr>
      <w:r w:rsidRPr="00792472">
        <w:rPr>
          <w:b/>
          <w:bCs/>
          <w:sz w:val="28"/>
          <w:szCs w:val="28"/>
        </w:rPr>
        <w:t>IZVRŠENJ</w:t>
      </w:r>
      <w:r w:rsidR="00CA5E44">
        <w:rPr>
          <w:b/>
          <w:bCs/>
          <w:sz w:val="28"/>
          <w:szCs w:val="28"/>
        </w:rPr>
        <w:t>E</w:t>
      </w:r>
      <w:r w:rsidRPr="00792472">
        <w:rPr>
          <w:b/>
          <w:bCs/>
          <w:sz w:val="28"/>
          <w:szCs w:val="28"/>
        </w:rPr>
        <w:t xml:space="preserve"> FINANCIJSKOG PLANA ZA RAZDOBLJE</w:t>
      </w:r>
    </w:p>
    <w:p w14:paraId="0DD87DED" w14:textId="5CB359CA" w:rsidR="00792472" w:rsidRPr="00792472" w:rsidRDefault="00792472" w:rsidP="00792472">
      <w:pPr>
        <w:jc w:val="center"/>
        <w:rPr>
          <w:b/>
          <w:bCs/>
          <w:sz w:val="28"/>
          <w:szCs w:val="28"/>
        </w:rPr>
      </w:pPr>
      <w:r w:rsidRPr="00792472">
        <w:rPr>
          <w:b/>
          <w:bCs/>
          <w:sz w:val="28"/>
          <w:szCs w:val="28"/>
        </w:rPr>
        <w:t>01.01.</w:t>
      </w:r>
      <w:r>
        <w:rPr>
          <w:b/>
          <w:bCs/>
          <w:sz w:val="28"/>
          <w:szCs w:val="28"/>
        </w:rPr>
        <w:t xml:space="preserve"> </w:t>
      </w:r>
      <w:r w:rsidRPr="00792472">
        <w:rPr>
          <w:b/>
          <w:bCs/>
          <w:sz w:val="28"/>
          <w:szCs w:val="28"/>
        </w:rPr>
        <w:t>-</w:t>
      </w:r>
      <w:r>
        <w:rPr>
          <w:b/>
          <w:bCs/>
          <w:sz w:val="28"/>
          <w:szCs w:val="28"/>
        </w:rPr>
        <w:t xml:space="preserve"> </w:t>
      </w:r>
      <w:r w:rsidRPr="00792472">
        <w:rPr>
          <w:b/>
          <w:bCs/>
          <w:sz w:val="28"/>
          <w:szCs w:val="28"/>
        </w:rPr>
        <w:t>31.12.2023.</w:t>
      </w:r>
    </w:p>
    <w:p w14:paraId="4563A19F" w14:textId="77777777" w:rsidR="00792472" w:rsidRDefault="00792472" w:rsidP="00792472"/>
    <w:p w14:paraId="1A3C3744" w14:textId="77777777" w:rsidR="00792472" w:rsidRDefault="00792472" w:rsidP="00792472"/>
    <w:p w14:paraId="1320F1C4" w14:textId="51CF1E49" w:rsidR="00792472" w:rsidRDefault="00792472" w:rsidP="00792472">
      <w:pPr>
        <w:jc w:val="center"/>
      </w:pPr>
      <w:r w:rsidRPr="00455541">
        <w:rPr>
          <w:rFonts w:cstheme="minorHAnsi"/>
          <w:bCs/>
          <w:noProof/>
        </w:rPr>
        <w:drawing>
          <wp:inline distT="0" distB="0" distL="0" distR="0" wp14:anchorId="11C9BB4D" wp14:editId="03233837">
            <wp:extent cx="1514475" cy="14001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14475" cy="1400175"/>
                    </a:xfrm>
                    <a:prstGeom prst="rect">
                      <a:avLst/>
                    </a:prstGeom>
                    <a:noFill/>
                  </pic:spPr>
                </pic:pic>
              </a:graphicData>
            </a:graphic>
          </wp:inline>
        </w:drawing>
      </w:r>
    </w:p>
    <w:p w14:paraId="71E7994F" w14:textId="77777777" w:rsidR="00792472" w:rsidRDefault="00792472" w:rsidP="00792472"/>
    <w:p w14:paraId="5CF152E0" w14:textId="77777777" w:rsidR="00792472" w:rsidRDefault="00792472" w:rsidP="00792472"/>
    <w:p w14:paraId="310539DC" w14:textId="77777777" w:rsidR="00792472" w:rsidRDefault="00792472" w:rsidP="00792472"/>
    <w:p w14:paraId="308988A3" w14:textId="77777777" w:rsidR="00792472" w:rsidRDefault="00792472" w:rsidP="00792472">
      <w:r>
        <w:t xml:space="preserve"> </w:t>
      </w:r>
    </w:p>
    <w:p w14:paraId="135AFB61" w14:textId="77777777" w:rsidR="00792472" w:rsidRDefault="00792472" w:rsidP="00792472"/>
    <w:p w14:paraId="246A7635" w14:textId="77777777" w:rsidR="00792472" w:rsidRDefault="00792472" w:rsidP="00792472"/>
    <w:p w14:paraId="23458B0C" w14:textId="77777777" w:rsidR="00792472" w:rsidRDefault="00792472" w:rsidP="00792472"/>
    <w:p w14:paraId="3DF42340" w14:textId="77777777" w:rsidR="00792472" w:rsidRDefault="00792472" w:rsidP="00792472"/>
    <w:p w14:paraId="59F92A8F" w14:textId="77777777" w:rsidR="00792472" w:rsidRDefault="00792472" w:rsidP="00792472"/>
    <w:p w14:paraId="46E2A7C2" w14:textId="77777777" w:rsidR="00792472" w:rsidRDefault="00792472" w:rsidP="00792472"/>
    <w:p w14:paraId="004AA854" w14:textId="77777777" w:rsidR="00792472" w:rsidRDefault="00792472" w:rsidP="00792472"/>
    <w:p w14:paraId="4B2852BE" w14:textId="77777777" w:rsidR="00792472" w:rsidRDefault="00792472" w:rsidP="00792472"/>
    <w:p w14:paraId="5F3B7EA9" w14:textId="408786C1" w:rsidR="009C0C7F" w:rsidRPr="009C0C7F" w:rsidRDefault="009C0C7F" w:rsidP="009C0C7F">
      <w:pPr>
        <w:spacing w:after="0"/>
      </w:pPr>
      <w:bookmarkStart w:id="0" w:name="_Hlk161916424"/>
      <w:r w:rsidRPr="009C0C7F">
        <w:t>KLASA:400-02/24-01/1</w:t>
      </w:r>
    </w:p>
    <w:p w14:paraId="087708F7" w14:textId="24054FEF" w:rsidR="009C0C7F" w:rsidRDefault="009C0C7F" w:rsidP="009C0C7F">
      <w:pPr>
        <w:spacing w:after="0"/>
      </w:pPr>
      <w:r w:rsidRPr="009C0C7F">
        <w:t>URBROJ: 2142-1-11/04-24-</w:t>
      </w:r>
      <w:r w:rsidR="009305D7">
        <w:t>4</w:t>
      </w:r>
    </w:p>
    <w:p w14:paraId="0DCB5251" w14:textId="54163369" w:rsidR="00792472" w:rsidRDefault="009C0C7F" w:rsidP="009C0C7F">
      <w:pPr>
        <w:spacing w:after="0"/>
      </w:pPr>
      <w:r w:rsidRPr="009C0C7F">
        <w:t>Krk, 2</w:t>
      </w:r>
      <w:r w:rsidR="009305D7">
        <w:t>8</w:t>
      </w:r>
      <w:r w:rsidRPr="009C0C7F">
        <w:t>.03.2024.</w:t>
      </w:r>
    </w:p>
    <w:p w14:paraId="2A882D0C" w14:textId="77777777" w:rsidR="009305D7" w:rsidRDefault="009305D7" w:rsidP="009C0C7F">
      <w:pPr>
        <w:spacing w:after="0"/>
      </w:pPr>
    </w:p>
    <w:p w14:paraId="45C4401D" w14:textId="77777777" w:rsidR="009305D7" w:rsidRDefault="009305D7" w:rsidP="009C0C7F">
      <w:pPr>
        <w:spacing w:after="0"/>
      </w:pPr>
    </w:p>
    <w:p w14:paraId="36890FBC" w14:textId="77777777" w:rsidR="009305D7" w:rsidRDefault="009305D7" w:rsidP="009C0C7F">
      <w:pPr>
        <w:spacing w:after="0"/>
      </w:pPr>
    </w:p>
    <w:bookmarkEnd w:id="0"/>
    <w:p w14:paraId="536B5556" w14:textId="77777777" w:rsidR="009C0C7F" w:rsidRPr="009C0C7F" w:rsidRDefault="009C0C7F" w:rsidP="009C0C7F">
      <w:pPr>
        <w:spacing w:after="0"/>
      </w:pPr>
    </w:p>
    <w:p w14:paraId="4C21A266" w14:textId="586CD924" w:rsidR="00792472" w:rsidRPr="00792472" w:rsidRDefault="00792472" w:rsidP="00792472">
      <w:pPr>
        <w:pStyle w:val="ListParagraph"/>
        <w:numPr>
          <w:ilvl w:val="0"/>
          <w:numId w:val="2"/>
        </w:numPr>
        <w:ind w:left="284" w:hanging="284"/>
        <w:rPr>
          <w:b/>
          <w:bCs/>
        </w:rPr>
      </w:pPr>
      <w:r w:rsidRPr="00792472">
        <w:rPr>
          <w:b/>
          <w:bCs/>
        </w:rPr>
        <w:lastRenderedPageBreak/>
        <w:t>UVOD</w:t>
      </w:r>
    </w:p>
    <w:p w14:paraId="41600D01" w14:textId="77777777" w:rsidR="00792472" w:rsidRDefault="00792472" w:rsidP="00792472">
      <w:pPr>
        <w:jc w:val="both"/>
      </w:pPr>
      <w:r>
        <w:t xml:space="preserve">Javna vatrogasna postrojba Grada Krka (dalje u tekstu: JVP Grada Krka) osnovana je Odlukom Poglavarstva Grada Krka KLASA: 214-05/99-01/1, URBROJ: 2142-01-02-99-2 od 30. prosinca 1999. godine. </w:t>
      </w:r>
    </w:p>
    <w:p w14:paraId="1CDFB310" w14:textId="77777777" w:rsidR="00792472" w:rsidRDefault="00792472" w:rsidP="00792472">
      <w:pPr>
        <w:jc w:val="both"/>
      </w:pPr>
      <w:r>
        <w:t xml:space="preserve">JVP Grada Krka ima status javne ustanove koja vatrogasnu djelatnost obavlja kao javnu službu  temeljem Zakona o ustanovama, Zakona o vatrogastvu, Zakona o zaštiti od požara, Zakona o sustavu civilne zaštite, a ona je stručna i humanitarna djelatnost od interesa za Republiku Hrvatsku. </w:t>
      </w:r>
    </w:p>
    <w:p w14:paraId="4CE51C2B" w14:textId="77777777" w:rsidR="00792472" w:rsidRDefault="00792472" w:rsidP="00792472">
      <w:pPr>
        <w:jc w:val="both"/>
      </w:pPr>
      <w:r>
        <w:t>JVP Grada Krka upravlja Zapovjednik i Vatrogasno vijeće koje se sastoji od tri člana.</w:t>
      </w:r>
    </w:p>
    <w:p w14:paraId="77FB9C64" w14:textId="77777777" w:rsidR="00792472" w:rsidRDefault="00792472" w:rsidP="00792472">
      <w:pPr>
        <w:jc w:val="both"/>
      </w:pPr>
      <w:r>
        <w:t>Sukladno članku 31. Zakona o vatrogastvu (NN 125/19., 114/22. i 155/23.), Procjeni ugroženosti od požara i tehnoloških eksplozija JLS otoka Krka (Grad Krka i Općine Omišalj, Dobrinj, Punat, Baška, Malinska – Dubašnica i Vrbnik), Planu zaštite od požara JLS otoka Krka, temeljem Sporazuma o financiranju vatrogastva otoka Krka, Klasa: 48-01/12-01 od 26.11.2012. godine, te Ugovora o financiranju JVP Grada Krka, Broj: 37-01/07-01 od 20.07.2007. godine sa pripadajućim Aneksima, JVP Grada Krka obavlja vatrogasnu djelatnost na području svih jedinica lokalne samouprave otoka Krka.</w:t>
      </w:r>
    </w:p>
    <w:p w14:paraId="36A6C8FD" w14:textId="536B7F56" w:rsidR="00792472" w:rsidRPr="00792472" w:rsidRDefault="00792472" w:rsidP="00792472">
      <w:pPr>
        <w:pStyle w:val="ListParagraph"/>
        <w:numPr>
          <w:ilvl w:val="1"/>
          <w:numId w:val="2"/>
        </w:numPr>
        <w:jc w:val="both"/>
        <w:rPr>
          <w:b/>
          <w:bCs/>
        </w:rPr>
      </w:pPr>
      <w:r w:rsidRPr="00792472">
        <w:rPr>
          <w:b/>
          <w:bCs/>
        </w:rPr>
        <w:t>Djelokrug rada</w:t>
      </w:r>
    </w:p>
    <w:p w14:paraId="377971E5" w14:textId="77777777" w:rsidR="00792472" w:rsidRDefault="00792472" w:rsidP="00792472">
      <w:pPr>
        <w:jc w:val="both"/>
      </w:pPr>
      <w:r>
        <w:t>Djelatnost JVP Grada Krka je sudjelovanje u provedbi preventivnih mjera zaštite od požara i tehnoloških eksplozija, gašenje požara i spašavanje ljudi i imovine ugroženih požarom i tehnološkom eksplozijom, pružanje tehničke pomoći u nezgodama i opasnim situacijama te obavljanje drugih poslova u nesrećama, ekološkim i inim nesrećama, a provodi se na kopnu, moru, jezerima i rijekama.</w:t>
      </w:r>
    </w:p>
    <w:p w14:paraId="49132BD1" w14:textId="77777777" w:rsidR="00792472" w:rsidRDefault="00792472" w:rsidP="00792472">
      <w:pPr>
        <w:spacing w:after="0"/>
      </w:pPr>
      <w:r>
        <w:t xml:space="preserve">JVP Grada Krka uz vatrogasnu djelatnost obavlja i: </w:t>
      </w:r>
    </w:p>
    <w:p w14:paraId="7F84D1A8" w14:textId="75F05173" w:rsidR="00792472" w:rsidRDefault="00792472" w:rsidP="00792472">
      <w:pPr>
        <w:pStyle w:val="ListParagraph"/>
        <w:numPr>
          <w:ilvl w:val="0"/>
          <w:numId w:val="3"/>
        </w:numPr>
      </w:pPr>
      <w:r>
        <w:t>pružanje usluga koje su sukladne odredbama posebnih propisa, a koje po obimu i načinu ne umanjuju interventnu sposobnost same postrojbe (prijevoz vode autocisternom, ispumpavanje, rušenje grana i stabala uz pomoć vatrogasne opreme i sredstava, vatrogasna osiguranja, iznajmljivanje vatrogasne opreme i sl.);</w:t>
      </w:r>
    </w:p>
    <w:p w14:paraId="256C06FB" w14:textId="2E426AB8" w:rsidR="00792472" w:rsidRDefault="00792472" w:rsidP="00792472">
      <w:pPr>
        <w:pStyle w:val="ListParagraph"/>
        <w:numPr>
          <w:ilvl w:val="0"/>
          <w:numId w:val="3"/>
        </w:numPr>
      </w:pPr>
      <w:r>
        <w:t xml:space="preserve">uz odobrenje Državne vatrogasne škole provodi programe neformalnog obrazovanja propisanog Zakonom i to: osposobljavanje i usavršavanje vatrogasnih kadrova te osposobljavanje pučanstva iz zaštite od požara;                     </w:t>
      </w:r>
    </w:p>
    <w:p w14:paraId="3C5482DB" w14:textId="5FF07F4D" w:rsidR="00792472" w:rsidRDefault="00792472" w:rsidP="00792472">
      <w:pPr>
        <w:pStyle w:val="ListParagraph"/>
        <w:numPr>
          <w:ilvl w:val="0"/>
          <w:numId w:val="3"/>
        </w:numPr>
      </w:pPr>
      <w:r>
        <w:t>organizira savjetovanja i seminare, pokazne vježbe i prezentacije, provodi teorijsku nastavu i praktične vježbe temeljem pozitivnih propisa, sudjeluje u aktivnostima zaštite okoliša te poduzima i druge radnje za ostvarivanje ciljeva i obavljanje djelatnosti Vatrogasne postrojbe;</w:t>
      </w:r>
    </w:p>
    <w:p w14:paraId="112CE3D4" w14:textId="28852C2C" w:rsidR="00792472" w:rsidRDefault="00792472" w:rsidP="00792472">
      <w:pPr>
        <w:pStyle w:val="ListParagraph"/>
        <w:numPr>
          <w:ilvl w:val="0"/>
          <w:numId w:val="3"/>
        </w:numPr>
      </w:pPr>
      <w:r>
        <w:t>pružanje usluge nadzora sustava za dojavu požara (vatrodojave);</w:t>
      </w:r>
    </w:p>
    <w:p w14:paraId="10C44842" w14:textId="43301DFC" w:rsidR="00792472" w:rsidRDefault="00792472" w:rsidP="00792472">
      <w:pPr>
        <w:pStyle w:val="ListParagraph"/>
        <w:numPr>
          <w:ilvl w:val="0"/>
          <w:numId w:val="3"/>
        </w:numPr>
      </w:pPr>
      <w:r>
        <w:t>prodaja proizvedene el. energije iz fotonaponske elektrane, kao i obavljanje drugih poslova.</w:t>
      </w:r>
    </w:p>
    <w:p w14:paraId="1AD60D3A" w14:textId="27FB32D3" w:rsidR="00792472" w:rsidRDefault="00792472" w:rsidP="00792472">
      <w:pPr>
        <w:jc w:val="both"/>
      </w:pPr>
      <w:r>
        <w:t>Vatrogasnu djelatnost JVP Grada Krka obavlja sukladno pravilima struke, bez obzira čija je imovina odnosno život ugrožen.</w:t>
      </w:r>
    </w:p>
    <w:p w14:paraId="20C637B3" w14:textId="2B19A920" w:rsidR="00792472" w:rsidRPr="00792472" w:rsidRDefault="00792472" w:rsidP="00792472">
      <w:pPr>
        <w:pStyle w:val="ListParagraph"/>
        <w:numPr>
          <w:ilvl w:val="1"/>
          <w:numId w:val="2"/>
        </w:numPr>
        <w:rPr>
          <w:b/>
          <w:bCs/>
        </w:rPr>
      </w:pPr>
      <w:r w:rsidRPr="00792472">
        <w:rPr>
          <w:b/>
          <w:bCs/>
        </w:rPr>
        <w:t>Organizacijska struktura</w:t>
      </w:r>
    </w:p>
    <w:p w14:paraId="6F538865" w14:textId="77777777" w:rsidR="00792472" w:rsidRDefault="00792472" w:rsidP="00792472">
      <w:pPr>
        <w:jc w:val="both"/>
      </w:pPr>
      <w:r>
        <w:t xml:space="preserve">JVP Grada Krka svoju djelatnost provodi na području svih 7 jedinica lokalne samouprave na otoku Krku, 24 sata dnevno, 7 dana u tjednu, 365 dana godišnje. </w:t>
      </w:r>
    </w:p>
    <w:p w14:paraId="72A477A2" w14:textId="77777777" w:rsidR="00792472" w:rsidRDefault="00792472" w:rsidP="00792472">
      <w:pPr>
        <w:jc w:val="both"/>
      </w:pPr>
      <w:r>
        <w:t>Na osnovi Procjene i plana zaštite od požara za Grad Krk, JVP Grada Krka je postrojba Vrste 2, što znači da je dimenzionirana za gašenje istodobno 2 požara. Bitno je napomenuti da je JVP Grada Krka dimenzionirana samo na osnovu Procjene i Plana zaštite od požara za područje Grada Krka, a svoju djelatnost provodi na području cijelog otoka Krka, odnosno svih 7 jedinica lokalne samouprave otoka Krka.</w:t>
      </w:r>
    </w:p>
    <w:p w14:paraId="2A8E8640" w14:textId="77777777" w:rsidR="00792472" w:rsidRDefault="00792472" w:rsidP="00792472">
      <w:pPr>
        <w:jc w:val="both"/>
      </w:pPr>
      <w:r>
        <w:lastRenderedPageBreak/>
        <w:t xml:space="preserve">Postrojba broji 24 djelatnika raspoređena na 9 radnih mjesta sukladno Pravilniku o unutarnjoj organizaciji i sistematizaciji radnih mjesta u JVP Grada Krka. Organizacijski je postavljena za rad u smjenama u neprekidnom radu od 24 sata, sa 5 djelatnika u smjeni, što čini 22 vatrogasca uključujući zapovjednika i njegovog zamjenika, koji obavljaju vatrogasnu djelatnost i 2 zaposlenice  koje obavljaju poslove računovodstva i administracije. </w:t>
      </w:r>
    </w:p>
    <w:p w14:paraId="38C11D97" w14:textId="77777777" w:rsidR="00792472" w:rsidRPr="00E708BA" w:rsidRDefault="00792472" w:rsidP="00792472">
      <w:pPr>
        <w:jc w:val="both"/>
      </w:pPr>
      <w:r w:rsidRPr="00E708BA">
        <w:t>U trenutku pisanja ovog izvješća, radno mjesto Zamjenik zapovjednika je upražnjeno.</w:t>
      </w:r>
    </w:p>
    <w:p w14:paraId="6399099D" w14:textId="378B265B" w:rsidR="00792472" w:rsidRDefault="00792472" w:rsidP="00792472">
      <w:pPr>
        <w:jc w:val="both"/>
      </w:pPr>
      <w:r>
        <w:t>Odlukom Vatrogasnog vijeća, u 2023. godini, nedostatak operativnih vatrogasaca riješen je zapošljavanjem 4 sezonska vatrogasca tijekom ljetne požarne sezone u vremenu od 01.06 – 30.09.2023. godine, uz sufinanciranje iz državnog proračuna.</w:t>
      </w:r>
    </w:p>
    <w:p w14:paraId="0112AB20" w14:textId="47BDC6CB" w:rsidR="00792472" w:rsidRPr="00792472" w:rsidRDefault="00792472" w:rsidP="00792472">
      <w:pPr>
        <w:pStyle w:val="ListParagraph"/>
        <w:numPr>
          <w:ilvl w:val="0"/>
          <w:numId w:val="2"/>
        </w:numPr>
        <w:ind w:left="284" w:hanging="284"/>
        <w:rPr>
          <w:b/>
          <w:bCs/>
        </w:rPr>
      </w:pPr>
      <w:r w:rsidRPr="00792472">
        <w:rPr>
          <w:b/>
          <w:bCs/>
        </w:rPr>
        <w:t xml:space="preserve">OBRAZLOŽENJE IZVRŠENJA PLANIRANIH  PRIHODA </w:t>
      </w:r>
    </w:p>
    <w:p w14:paraId="443B8AFE" w14:textId="77777777" w:rsidR="00792472" w:rsidRDefault="00792472" w:rsidP="00792472">
      <w:pPr>
        <w:jc w:val="both"/>
      </w:pPr>
      <w:r>
        <w:t>Financijski plan JVP Grada Krka  za 2023. godinu usvojen je na 19. sjednici Vatrogasnog vijeća JVP Grada Krka  dana 29.12.2022. g. u iznosu od 858.959,00 eura prihoda, 11.950,00 eura viška prihoda iz prethodne godine, te  870.909,00 eura  rashoda.</w:t>
      </w:r>
    </w:p>
    <w:p w14:paraId="3B501E19" w14:textId="77777777" w:rsidR="00792472" w:rsidRDefault="00792472" w:rsidP="00792472">
      <w:pPr>
        <w:jc w:val="both"/>
      </w:pPr>
      <w:r>
        <w:t>Prvom izmjenom financijskog plana za 2023.g.  prihodi poslovanja povećali su se za 8.129,69 eura, dok su se rashodi povećali za 25.492,99 eura u odnosu na temeljni plan.  Višak prihoda je ostvaren u iznosu od 29.313,30 eura. Prva izmjena financijskog plana usvojena je na sjednici Gradskog vijeća Grada Krka održanoj dana 27.06.2023. g.</w:t>
      </w:r>
    </w:p>
    <w:p w14:paraId="7EFD8A9D" w14:textId="1ACF1D82" w:rsidR="00792472" w:rsidRDefault="00792472" w:rsidP="00792472">
      <w:pPr>
        <w:jc w:val="both"/>
      </w:pPr>
      <w:r>
        <w:t>Drugom izmjenom financijskog plana predloženo je smanjenje prihoda i rashoda u iznosu od 96.793,92 eura. Druga izmjena  financijskog plana usvojena je na sjednici Gradskog vijeća  Grada Krka održanoj dana 12.12.2023.g.</w:t>
      </w:r>
    </w:p>
    <w:p w14:paraId="3B13B508" w14:textId="16ABC68A" w:rsidR="00792472" w:rsidRDefault="00792472" w:rsidP="00792472">
      <w:pPr>
        <w:jc w:val="both"/>
      </w:pPr>
      <w:r>
        <w:t>U razdoblju od 01.01. do 31.12.2023. godine JVP Grada Krka ostvarila je prihode u ukupnom iznosu od   915.832,30 €  što predstavlja povećanje  od 13,7 % u odnosu na 2022.g. kada su ostvarenu u  iznosu od  805.662,91 €.</w:t>
      </w:r>
    </w:p>
    <w:p w14:paraId="7E6552B8" w14:textId="56EC6C74" w:rsidR="00792472" w:rsidRPr="00792472" w:rsidRDefault="00792472" w:rsidP="00792472">
      <w:pPr>
        <w:rPr>
          <w:i/>
          <w:iCs/>
          <w:u w:val="single"/>
        </w:rPr>
      </w:pPr>
      <w:r w:rsidRPr="00792472">
        <w:rPr>
          <w:i/>
          <w:iCs/>
          <w:u w:val="single"/>
        </w:rPr>
        <w:t xml:space="preserve">Pomoći proračunskim korisnicima iz proračuna koji im nije nadležan </w:t>
      </w:r>
    </w:p>
    <w:p w14:paraId="1023643E" w14:textId="77777777" w:rsidR="00792472" w:rsidRDefault="00792472" w:rsidP="00792472">
      <w:pPr>
        <w:jc w:val="both"/>
      </w:pPr>
      <w:r>
        <w:t xml:space="preserve">Tekuće pomoći proračunskim korisnicima iz proračuna koji im nije nadležan ostvarene su u iznosu od 224.324,72 eura, a planirani su u iznosu od 242.363,92 eura. U odnosu na prošlu godinu  povećali su se za 64,6%. Ovo značajno povećanje  u odnosu na prošlu godinu vezano je uz potpisivanje II. i III. Aneksa Ugovora o financiranju JVP Grada Krka. II. Aneks Ugovora o financiranju JVP Grada Krka potpisale su sve JLS otoka Krka zbog povećanja osnovice Grada Krka za obračun plaća, kao i zbog zapošljavanja nove djelatnice za računovodstveno administrativne poslove. III. Aneks Ugovora o financiranju JVP Grada Krka za 2023. godinu napravljen je zbog obveze primjene Pravilnika o klasifikaciji radnih mjesta profesionalnih vatrogasaca, mjerilima za njihovo utvrđivanje i koeficijentima složenosti poslova (NN 46/23.) kojim su propisana radna mjesta i mjerila za utvrđivanje radnih mjesta profesionalnih vatrogasaca, te koeficijenti složenosti poslova profesionalnih vatrogasaca. Novim pravilnikom propisana je minimalna plaća za pojedino radno mjesto profesionalnih vatrogasaca sa pripadajućim koeficijentom složenosti poslova uz primjenu državne osnovice za cijelu Republiku Hrvatsku. Također je određeno da su vatrogasne postrojbe dužne uskladiti svoje poslovanje sa odredbama novog pravilnika u roku od 6 mjeseci od njegovog stupanja na snagu.  Shodno navedenom u JVP Grada Krka provedeno je  usklađivanje internih akata sa novim Pravilnikom (Pravilnik o radu i Pravilnik unutarnjoj organizaciji i sistematizaciji radnih), te je sa osnivačem potpisan novi Kolektivni ugovor koji je stupio na snagu i primjenjuje se od 01.08.2023. Primjenom nove osnovice (propisana je primjena osnovice državnih službenika i namještenika) i novih koeficijenata povećali su se rashodi za zaposlene, te je iz tog razloga sa osnivačem i svim jedinicama lokalne samouprave otoka Krka sklopljen predmetni aneks. U mjesecu </w:t>
      </w:r>
      <w:r>
        <w:lastRenderedPageBreak/>
        <w:t>listopadu odlukom Vlade RH povećana je osnovica za državne službenike i namještenike sa 902, 08 € na 947,18 €.</w:t>
      </w:r>
    </w:p>
    <w:p w14:paraId="38C95AB1" w14:textId="0A5547B7" w:rsidR="00792472" w:rsidRDefault="00792472" w:rsidP="00792472">
      <w:pPr>
        <w:jc w:val="both"/>
      </w:pPr>
      <w:r>
        <w:t>Potpisom III. Aneksa za 2023. g. sve JLS-u otoka Krka pristale su na povećanje svojih izdavanja  s ciljem održavanja sposobnosti JVP Grada Krka u podmirivanju obveza prema zaposlenima bez narušavanja sredstava za materijalne izdatke, odnosno nastavka provedbe programa nabavke nove osobne i skupne zaštitne opreme te održavanje vozila, uređaja i opreme nužne za naš rad tj. obavljanje naše djelatnosti. Jedino Općina Punat nije mogla potpisati III. Aneks ugovora o financiranju iz razloga što Općinsko vijeće Općine Punat nije prihvatilo Prijedlog I. Izmjene i dopune Proračuna za 2023.g. s Projekcijama za 2024. i 2025. godinu i iz tog razloga se nisu mogla isplatiti veća sredstva u odnosu na prvotni plan. Općina Punat uplatila je iznos od 18.390 € definiran II. Aneksom odnosno uplatila je 6.091,20 € manje u odnosu na III. Aneks Ugovora o financiranju JVP Grada Krka.</w:t>
      </w:r>
    </w:p>
    <w:p w14:paraId="1FA90CAC" w14:textId="77777777" w:rsidR="00792472" w:rsidRDefault="00792472" w:rsidP="00792472">
      <w:pPr>
        <w:jc w:val="both"/>
      </w:pPr>
      <w:r>
        <w:t>Također je na poziciji pomoći došlo i do razlike zbog dobivanja pomoći iz Hrvatske vatrogasne zajednice na temelju Odluke o refundaciji financijskih sredstava javnim vatrogasnim postrojbama u 2023. godini kojom su propisani uvjeti, visina i način ostvarivanja financijskih sredstava , a u cilju pomoći zbog općeg rasta cijena te usklađivanja poslovanja javnih vatrogasnih postrojbi s donesenim pravilnikom o klasifikaciji radnih mjesta profesionalnih vatrogasaca, mjerilima za njihovo utvrđivanje i koeficijentima složenosti poslova (NN 46/23). Pravo na refundaciju ostvarile su sve javne vatrogasne postrojbe u RH koje imaju rješenje odnosno odobrenje za obavljanje vatrogasne djelatnosti, te koje su u tijeku 2023.g. financirale rashode vlastitim prihodima ili sredstvima njihovih osnivača odnosno suosnivača, a koja se ne odnose na sredstva za decentralizirane funkcije vatrogastva ili su ostvarena putem natječaja tijela državne uprave, fondova Europske Unije i međunarodnih fondova.</w:t>
      </w:r>
    </w:p>
    <w:p w14:paraId="3357EA31" w14:textId="77777777" w:rsidR="00792472" w:rsidRDefault="00792472" w:rsidP="00792472">
      <w:pPr>
        <w:spacing w:after="0"/>
      </w:pPr>
      <w:r>
        <w:t>Odlukom je propisano da su prihvatljivi rashodi za refundaciju:</w:t>
      </w:r>
    </w:p>
    <w:p w14:paraId="4EC02D1F" w14:textId="4E2E0124" w:rsidR="00792472" w:rsidRDefault="00792472" w:rsidP="00792472">
      <w:pPr>
        <w:pStyle w:val="ListParagraph"/>
        <w:numPr>
          <w:ilvl w:val="0"/>
          <w:numId w:val="5"/>
        </w:numPr>
      </w:pPr>
      <w:r>
        <w:t>rashodi za materijal i energiju</w:t>
      </w:r>
    </w:p>
    <w:p w14:paraId="3D8FD780" w14:textId="6C4E21A7" w:rsidR="00792472" w:rsidRDefault="00792472" w:rsidP="00792472">
      <w:pPr>
        <w:pStyle w:val="ListParagraph"/>
        <w:numPr>
          <w:ilvl w:val="0"/>
          <w:numId w:val="5"/>
        </w:numPr>
      </w:pPr>
      <w:r>
        <w:t>rashodi za usluge i to: usluge tekućeg i investicijskog održavanja, komunalne usluge, zakupnine i najamnine, obvezni i preventivni zdravstveni pregledi, računalne usluge, te usluge pri registraciji prijevoznih vozila</w:t>
      </w:r>
    </w:p>
    <w:p w14:paraId="524B3027" w14:textId="0EEFFB62" w:rsidR="00792472" w:rsidRDefault="00792472" w:rsidP="00792472">
      <w:pPr>
        <w:pStyle w:val="ListParagraph"/>
        <w:numPr>
          <w:ilvl w:val="0"/>
          <w:numId w:val="5"/>
        </w:numPr>
      </w:pPr>
      <w:r>
        <w:t>ostali nespomenuti rashodi poslovanja i to: premije osiguranja</w:t>
      </w:r>
    </w:p>
    <w:p w14:paraId="25DC427D" w14:textId="50CB517C" w:rsidR="00792472" w:rsidRDefault="00792472" w:rsidP="00792472">
      <w:pPr>
        <w:pStyle w:val="ListParagraph"/>
        <w:numPr>
          <w:ilvl w:val="0"/>
          <w:numId w:val="5"/>
        </w:numPr>
      </w:pPr>
      <w:r>
        <w:t>rashodi za nabavu dugotrajne imovine - vatrogasna tehnika i oprema namijenjena za vatrogasne intervencije.</w:t>
      </w:r>
    </w:p>
    <w:p w14:paraId="0DEF76FA" w14:textId="77777777" w:rsidR="00792472" w:rsidRDefault="00792472" w:rsidP="00792472">
      <w:pPr>
        <w:jc w:val="both"/>
      </w:pPr>
      <w:r>
        <w:t>Također je unutar Odluke dodana i propisana tablica „ Zahtjev za refundaciju financijskih sredstava  JVP-a u 2023.g.“ preko koje se šalje  zahtjev, te su se uz popunjenu tablicu morali poslati dokazi (preslike računa i dokaz o podmirenju) za koje se traži refundacija.</w:t>
      </w:r>
    </w:p>
    <w:p w14:paraId="36B405D3" w14:textId="77777777" w:rsidR="00792472" w:rsidRDefault="00792472" w:rsidP="00792472">
      <w:pPr>
        <w:jc w:val="both"/>
      </w:pPr>
      <w:r>
        <w:t>Na temelju ove odluke propisano je da  JVP Grada Krka može ostvariti maksimalan iznos sredstva u iznosu od 42.988,92 €, koji je od strane HVZ u potpunosti uplaćen na račun našeg osnivača Grada Krka i isti je transferiran na naš račun. Nakon usvajanja II. rebalansa od strane Gradskog vijeća na sjednici održanoj 12.12.2023. provedeno je preknjižavanje poslanih računa za refundaciju sa jednog izvora financiranja na drugi.</w:t>
      </w:r>
    </w:p>
    <w:p w14:paraId="3350418D" w14:textId="77777777" w:rsidR="00792472" w:rsidRDefault="00792472" w:rsidP="00792472">
      <w:pPr>
        <w:jc w:val="both"/>
      </w:pPr>
      <w:r w:rsidRPr="00792472">
        <w:rPr>
          <w:i/>
          <w:iCs/>
          <w:u w:val="single"/>
        </w:rPr>
        <w:t>Prihodi od upravnih i administrativnih pristojbi, prihodi po posebnim propisima i naknada</w:t>
      </w:r>
      <w:r>
        <w:t xml:space="preserve"> u 2023. godini nisu ostvareni, dok smo prošle godine  imali knjiženja unutar ove skupine  iz razloga što je jedan naš djelatnik kojemu je JVP Grada Krka uz pomoć Grada Krka sufinancirala školovanje sa 30.09.2022. godine potpisao sporazumni otkaz Ugovora o radu u kojemu se obavezao da će do kraja 2022. godine vratiti sredstva koja su uplaćena za 1. godinu školovanja (ukupno je za 1. godinu uplaćeno 2.865,78 € od čega je Grad Krk sudjelovao sa 1.804,00 €, a JVP Grada Krka sa 1.061,78  €). Djelatnik je ispunio svoju obvezu i uplatio ugovoreno. U 2023. godini nismo imali ovakvu vrstu prihoda.</w:t>
      </w:r>
    </w:p>
    <w:p w14:paraId="28EF8628" w14:textId="77777777" w:rsidR="00792472" w:rsidRDefault="00792472" w:rsidP="00792472">
      <w:pPr>
        <w:jc w:val="both"/>
      </w:pPr>
      <w:r>
        <w:lastRenderedPageBreak/>
        <w:t>Tekuće donacije u 2023. godini ostvarene su u iznosu od 77.035,75 € što predstavlja smanjenje za  28,2 % u odnosu na prošlu godinu.  Jedan od razloga smanjenja je što je u 2022.g. PVZ otoka Krka JVP Grada Krka uplatila dug iz 2021.g. Naime prilikom izrade njihovog završnog računa utvrđeno je da su u 2021.g. JVP Grada Krka manje transferirana sredstva prema ugovorenom ključu raspodjele u iznosu od 105.702,13 kn. Ista su u PVZ-u knjižena kao obveza za povrat duga, dok se u JVP Grada Kraka da bi se sredstva mogla isplatiti morala dodati nova pozicija. Također je smanjenje vezano i uz veću potrebu sredstva koja se prema ključu raspodjele na temelju Sporazumu o financiranju JVP Grada Krka utvrđenom između JLS otoka Krka, PVZ otoka Krka i JVP Grada Krka transferiraju JVP za sufinanciranje redovne djelatnosti. Dio sredstava koristi se za sufinanciranje rashoda za zaposlene, a dio za financiranje redovne djelatnosti. Kako je već ranije objašnjeno, zbog porasta rashoda za zaposlene uplaćen je veći iznos za njihovo sufinanciranje, dok je ostatak korišten za financiranje redovne djelatnosti.</w:t>
      </w:r>
    </w:p>
    <w:p w14:paraId="2D69E592" w14:textId="2301D884" w:rsidR="00792472" w:rsidRDefault="00792472" w:rsidP="00792472">
      <w:pPr>
        <w:jc w:val="both"/>
      </w:pPr>
      <w:r>
        <w:t>Od PVZ otoka Krka dobili smo  kapitalnu donaciju u iznosu od  6.149,00 € za sufinanciranje nabavke vatrogasnih čizama Jolly 9300/GA Rescue.</w:t>
      </w:r>
    </w:p>
    <w:p w14:paraId="5298D373" w14:textId="4C9D2C06" w:rsidR="00792472" w:rsidRDefault="00792472" w:rsidP="00F302AF">
      <w:pPr>
        <w:jc w:val="both"/>
      </w:pPr>
      <w:r w:rsidRPr="00F302AF">
        <w:rPr>
          <w:i/>
          <w:iCs/>
          <w:u w:val="single"/>
        </w:rPr>
        <w:t>Prihodi od pruženih usluga</w:t>
      </w:r>
      <w:r>
        <w:t xml:space="preserve"> ostvareni su u iznosu do 9.880,35 €, dok su prošle godine ostvareni u iznosu od 17.965,36 €. Razlog ovako velikog smanjenja od 45% vezan je uz to što su prošle godine uz pružanje redovnih usluga  naši djelatnici sudjelovali i na osiguranju  filmskog seta za vrijeme i nakon završetka snimanja u uvali Zala blizu mjesta Stara Baška. </w:t>
      </w:r>
    </w:p>
    <w:p w14:paraId="4BF4D292" w14:textId="77777777" w:rsidR="00792472" w:rsidRDefault="00792472" w:rsidP="00F302AF">
      <w:pPr>
        <w:jc w:val="both"/>
      </w:pPr>
      <w:r>
        <w:t>Od pružanja usluge vatrogasnog osiguranja filmskog seta ostvaren je prihod u iznosu od 5.773,45 €. Također prošle godine zbog velike i dugotrajne suše koja  je trajala cijelo ljeto značajno se povećala potražnja i potreba za prijevozom vode. Broj izdanih izlaznih faktura dvostruko je bio veći u odnosu na isto razdoblje ranijih godina. 2023.g. nije bila sušna i bila je puno manja potreba i potražnje za prijevozom vode.</w:t>
      </w:r>
    </w:p>
    <w:p w14:paraId="2EB67CE5" w14:textId="35C33EA1" w:rsidR="00792472" w:rsidRDefault="00792472" w:rsidP="00F302AF">
      <w:pPr>
        <w:jc w:val="both"/>
      </w:pPr>
      <w:r>
        <w:t>U 2023.g. ova aktivnost je ostvarena u iznosu od 9.880,35 eura što čini 90 % u odnosu na planiranih 10.955 eura. U navedenom razdoblju izdano je 98 faktura za usluge prijevoza vode, usluge osposobljavanja pučanstva za provedbu preventivnih mjera zaštite od požara, te usluge nadzora nad sustavom za dojavu požara u dva objekta. Dobivena sredstva utrošena su za podmirenje troškova nastalih uslijed pružanja usluga (trošak prekovremenih sati, utrošak vode i goriva), za usluge tekućeg investicijskog održavanja, te za nabavku opreme za održavanje i zaštitu.</w:t>
      </w:r>
    </w:p>
    <w:p w14:paraId="29E22619" w14:textId="77777777" w:rsidR="00792472" w:rsidRDefault="00792472" w:rsidP="00792472">
      <w:r w:rsidRPr="00F302AF">
        <w:rPr>
          <w:i/>
          <w:iCs/>
          <w:u w:val="single"/>
        </w:rPr>
        <w:t>Prihodi iz nadležnog proračuna</w:t>
      </w:r>
      <w:r>
        <w:t xml:space="preserve">  ostvareni su u ukupnoj vrijednosti od 598.442,48 €, dok su prošle godine ostvareni u iznosu od 534.564,29  € što čini povećanje od 11,9%. </w:t>
      </w:r>
    </w:p>
    <w:p w14:paraId="63DC5CCE" w14:textId="77777777" w:rsidR="00792472" w:rsidRDefault="00792472" w:rsidP="00792472">
      <w:r>
        <w:t xml:space="preserve">Sastoje se od prihoda iz nadležnog proračuna za decentralizirane funkcije vatrogastva koji su ostvareni u ukupnom iznosu od 385.644,69 € (1.225,69 € je uplaćeni dug iz prošle godine, čime je podmiren metodološki manjak iz 2022.g.). Grad Krk je na račun JVP Grada Krka do kraja tekuće godine uplatio ukupan planirani  iznos za financiranje decentraliziranih funkcija vatrogastva. Kako oni do kraja 2023. godine nisu dobili ukupna planirana sredstava pomoći izravnanja za decentralizirane funkcije poslali su nam uputu da izvršimo storniranje prihoda na 671 i knjižimo obvezu za povrat u iznosu od 2.047,61 €, dok su rashodi knjiženi u ukupnom iznosu čime je ostvaren metodološki manjak.  </w:t>
      </w:r>
    </w:p>
    <w:p w14:paraId="17E12EDE" w14:textId="77777777" w:rsidR="00792472" w:rsidRDefault="00792472" w:rsidP="00F302AF">
      <w:pPr>
        <w:jc w:val="both"/>
      </w:pPr>
      <w:r>
        <w:t>Prihodi iz nadležnog proračuna za decentralizirane funkcije vatrogastva stvarno su ostvareni u iznosu od 383.597,08 €. Početkom 2023. godine nakon što smo od Grada Krka dobili obavijest da su im uplaćena sredstva za decentralizirane funkcije koja se odnose na 2022.g. u iznosu od 1.225,69 €  knjižili  zatvaranje obveze za povrat u nadležni proračun uz istovremeno knjiženje prihoda iz nadležnog proračuna. Kod izrade I. izmjene  financijskog plana proračuna dodali smo poziciju metodološkog manjka, kojeg smo prošle godine imali zbog manje uplate. Metodološki manjak namiren je iz ostvarenog viška tekuće godine.</w:t>
      </w:r>
    </w:p>
    <w:p w14:paraId="34CFC0EF" w14:textId="5B720855" w:rsidR="00792472" w:rsidRDefault="00792472" w:rsidP="00F302AF">
      <w:pPr>
        <w:jc w:val="both"/>
      </w:pPr>
      <w:r>
        <w:lastRenderedPageBreak/>
        <w:t>Prihodi iz proračuna Grada Krka za sufinanciranje rashoda poslovanja ostvareni su u  ukupnom iznosu od 91.985,20 €</w:t>
      </w:r>
      <w:r w:rsidR="004F282A">
        <w:t>, a planirani su u iznosu od 72.894 eura.</w:t>
      </w:r>
      <w:r w:rsidR="004F282A" w:rsidRPr="004F282A">
        <w:t xml:space="preserve"> </w:t>
      </w:r>
      <w:r w:rsidR="004F282A">
        <w:t xml:space="preserve">Do odstupanja u ostvarenju u odnosu na temeljni plan došlo je iz dva razloga. Prvi je što  u  II. izmjenu Financijskog plana za 2023.g. nije uključen iznos od 13.000 eura kojim je u III. Aneksu Ugovora o financiranju JVP Grada Krka definirano da Grad Krk samostalno financira zapošljavanje računovodstveno-administrativne djelatnice. Dok je drugi razlog što je Grad Krk  uplatio JVP Grada Krka 6.091,20 eura koja je trebala uplatiti Općina Punat. Kako Općina Punat nije mogla potpisati III. Aneks ugovora o financiranju iz razloga što Općinsko vijeće Općine Punat nije prihvatilo  Prijedlog I. Izmjene i dopune Proračuna za 2023.g. s Projekcijama za 2024. i 2025.  razliku sredstava uplatio nam je naš osnivač Grad Krk. Općina Punat se obavezala da će dug iz 2023.g. uplatiti Gradu Krku u 2024. godini. </w:t>
      </w:r>
      <w:r>
        <w:t xml:space="preserve"> Kako je spomenuto kod pomoći iz nenadležnog proračuna i na ovoj poziciji je došlo do povećanja planiranih sredstava</w:t>
      </w:r>
      <w:r w:rsidR="004F282A">
        <w:t xml:space="preserve"> u odnosu na lanjsku godinu, a</w:t>
      </w:r>
      <w:r>
        <w:t xml:space="preserve"> vezano</w:t>
      </w:r>
      <w:r w:rsidR="004F282A">
        <w:t xml:space="preserve"> je</w:t>
      </w:r>
      <w:r>
        <w:t xml:space="preserve"> uz obvezu primjene Pravilnika o klasifikaciji radnih mjesta profesionalnih vatrogasaca, mjerilima za njihovo utvrđivanje i koeficijentima složenosti poslova (NN 46/23).  Sa našim osnivačem Gradom Krkom potpisan je novi Kolektivni ugovor koji je stupio na snagu i primjenjuje se od 01.08.2023. Primjenom nove osnovice (propisana je primjena osnovice državnih službenika i namještenika) i novih koeficijenata povećali su se rashodi za zaposlene, te je iz tog razloga sa osnivačem i svim jedinicama lokalne samouprave otoka Krka sklopljen III. Aneks ugovora o financiranju JVP Grada  Krka za 2023. godinu kako bi se osigurala razlika sredstava koja je potrebna za primjenu odredbi novog pravilnika. Potpisom III. Aneksa za 2023. g. sve JLS-u otoka Krka pristale su na povećanje svojih izdavanja s ciljem održavanja sposobnosti JVP Grada Krka u podmirivanju obveza prema zaposlenima bez narušavanja sredstava za materijalne izdatke, odnosno nastavka provedbe programa nabavke nove osobne i skupne zaštitne opreme te održavanje vozila, uređaja i opreme nužne za naš rad tj. obavljanje naše djelatnosti. Kako Općina Punat nije mogla potpisati III. Aneks ugovora o razliku sredstava u iznosu od 6.091,20 € uplatio nam je naš osnivač Grad Krk. Općina Punat se obavezala da će dug iz 2023.g. uplatiti Gradu Krku u 2024. godini. Grad Krk je također u 2023.g. sufinancirao u iznosu od 8.100,00 € nabavku  promotivnog materijala (set u kojem je vatrogasni aparat i deka za gašenje požara) koji se dana 10.12.2023. podijelio građanima radi podizanja svjesnosti o zaštiti od požara. </w:t>
      </w:r>
    </w:p>
    <w:p w14:paraId="212952D7" w14:textId="77777777" w:rsidR="00792472" w:rsidRDefault="00792472" w:rsidP="00F302AF">
      <w:pPr>
        <w:jc w:val="both"/>
      </w:pPr>
      <w:r>
        <w:t xml:space="preserve">Prihodi od PVZ-a za sufinanciranje rashoda za zaposlene ostvareni u iznosu od 114.760,20 € što predstavlja povećanje u odnosu na prošlu godinu kada su ostvareni u iznosu od 99.452,72 €. Ovo povećanje je vezano uz ranije objašnjeno povećanje rashoda za zaposlene. </w:t>
      </w:r>
    </w:p>
    <w:p w14:paraId="221691BA" w14:textId="3508681A" w:rsidR="00F302AF" w:rsidRPr="00F302AF" w:rsidRDefault="00F302AF" w:rsidP="00F302AF">
      <w:pPr>
        <w:spacing w:after="0"/>
        <w:jc w:val="center"/>
        <w:rPr>
          <w:b/>
          <w:bCs/>
        </w:rPr>
      </w:pPr>
      <w:r w:rsidRPr="00F302AF">
        <w:rPr>
          <w:b/>
          <w:bCs/>
        </w:rPr>
        <w:t>Ukupno ostvarenje prihoda</w:t>
      </w:r>
    </w:p>
    <w:tbl>
      <w:tblPr>
        <w:tblW w:w="9360" w:type="dxa"/>
        <w:tblLook w:val="04A0" w:firstRow="1" w:lastRow="0" w:firstColumn="1" w:lastColumn="0" w:noHBand="0" w:noVBand="1"/>
      </w:tblPr>
      <w:tblGrid>
        <w:gridCol w:w="720"/>
        <w:gridCol w:w="4500"/>
        <w:gridCol w:w="2495"/>
        <w:gridCol w:w="1645"/>
      </w:tblGrid>
      <w:tr w:rsidR="00F302AF" w14:paraId="3FAF20CE" w14:textId="77777777" w:rsidTr="00F302AF">
        <w:trPr>
          <w:trHeight w:val="340"/>
        </w:trPr>
        <w:tc>
          <w:tcPr>
            <w:tcW w:w="720" w:type="dxa"/>
            <w:tcBorders>
              <w:top w:val="nil"/>
              <w:left w:val="nil"/>
              <w:bottom w:val="single" w:sz="12" w:space="0" w:color="FFFFFF"/>
              <w:right w:val="single" w:sz="8" w:space="0" w:color="FFFFFF"/>
            </w:tcBorders>
            <w:shd w:val="clear" w:color="000000" w:fill="FFC000"/>
            <w:noWrap/>
            <w:vAlign w:val="center"/>
            <w:hideMark/>
          </w:tcPr>
          <w:p w14:paraId="5BB761AE" w14:textId="77777777" w:rsidR="00F302AF" w:rsidRDefault="00F302AF" w:rsidP="00F302AF">
            <w:pPr>
              <w:rPr>
                <w:rFonts w:ascii="Calibri" w:hAnsi="Calibri" w:cs="Calibri"/>
                <w:b/>
                <w:bCs/>
                <w:color w:val="FFFFFF"/>
                <w:sz w:val="20"/>
                <w:szCs w:val="20"/>
                <w:lang w:eastAsia="hr-HR"/>
              </w:rPr>
            </w:pPr>
            <w:r>
              <w:rPr>
                <w:rFonts w:ascii="Calibri" w:hAnsi="Calibri" w:cs="Calibri"/>
                <w:b/>
                <w:bCs/>
                <w:color w:val="FFFFFF"/>
                <w:sz w:val="20"/>
                <w:szCs w:val="20"/>
              </w:rPr>
              <w:t>Konto</w:t>
            </w:r>
          </w:p>
        </w:tc>
        <w:tc>
          <w:tcPr>
            <w:tcW w:w="4500" w:type="dxa"/>
            <w:tcBorders>
              <w:top w:val="nil"/>
              <w:left w:val="nil"/>
              <w:bottom w:val="single" w:sz="12" w:space="0" w:color="FFFFFF"/>
              <w:right w:val="single" w:sz="8" w:space="0" w:color="FFFFFF"/>
            </w:tcBorders>
            <w:shd w:val="clear" w:color="000000" w:fill="FFC000"/>
            <w:noWrap/>
            <w:vAlign w:val="center"/>
            <w:hideMark/>
          </w:tcPr>
          <w:p w14:paraId="252B2E19" w14:textId="77777777" w:rsidR="00F302AF" w:rsidRDefault="00F302AF" w:rsidP="00F302AF">
            <w:pPr>
              <w:rPr>
                <w:rFonts w:ascii="Calibri" w:hAnsi="Calibri" w:cs="Calibri"/>
                <w:b/>
                <w:bCs/>
                <w:color w:val="FFFFFF"/>
                <w:sz w:val="20"/>
                <w:szCs w:val="20"/>
              </w:rPr>
            </w:pPr>
            <w:r>
              <w:rPr>
                <w:rFonts w:ascii="Calibri" w:hAnsi="Calibri" w:cs="Calibri"/>
                <w:b/>
                <w:bCs/>
                <w:color w:val="FFFFFF"/>
                <w:sz w:val="20"/>
                <w:szCs w:val="20"/>
              </w:rPr>
              <w:t>Prihodi</w:t>
            </w:r>
          </w:p>
        </w:tc>
        <w:tc>
          <w:tcPr>
            <w:tcW w:w="2495" w:type="dxa"/>
            <w:tcBorders>
              <w:top w:val="nil"/>
              <w:left w:val="nil"/>
              <w:bottom w:val="single" w:sz="12" w:space="0" w:color="FFFFFF"/>
              <w:right w:val="single" w:sz="8" w:space="0" w:color="FFFFFF"/>
            </w:tcBorders>
            <w:shd w:val="clear" w:color="000000" w:fill="FFC000"/>
            <w:noWrap/>
            <w:vAlign w:val="center"/>
            <w:hideMark/>
          </w:tcPr>
          <w:p w14:paraId="04943F6A" w14:textId="77777777" w:rsidR="00F302AF" w:rsidRDefault="00F302AF" w:rsidP="00F302AF">
            <w:pPr>
              <w:rPr>
                <w:rFonts w:ascii="Calibri" w:hAnsi="Calibri" w:cs="Calibri"/>
                <w:b/>
                <w:bCs/>
                <w:color w:val="FFFFFF"/>
                <w:sz w:val="20"/>
                <w:szCs w:val="20"/>
              </w:rPr>
            </w:pPr>
            <w:r>
              <w:rPr>
                <w:rFonts w:ascii="Calibri" w:hAnsi="Calibri" w:cs="Calibri"/>
                <w:b/>
                <w:bCs/>
                <w:color w:val="FFFFFF"/>
                <w:sz w:val="20"/>
                <w:szCs w:val="20"/>
              </w:rPr>
              <w:t>Iznos</w:t>
            </w:r>
          </w:p>
        </w:tc>
        <w:tc>
          <w:tcPr>
            <w:tcW w:w="1645" w:type="dxa"/>
            <w:tcBorders>
              <w:top w:val="nil"/>
              <w:left w:val="nil"/>
              <w:bottom w:val="single" w:sz="12" w:space="0" w:color="FFFFFF"/>
              <w:right w:val="nil"/>
            </w:tcBorders>
            <w:shd w:val="clear" w:color="000000" w:fill="FFC000"/>
            <w:noWrap/>
            <w:vAlign w:val="center"/>
            <w:hideMark/>
          </w:tcPr>
          <w:p w14:paraId="4651802D" w14:textId="77777777" w:rsidR="00F302AF" w:rsidRDefault="00F302AF" w:rsidP="00F302AF">
            <w:pPr>
              <w:rPr>
                <w:rFonts w:ascii="Calibri" w:hAnsi="Calibri" w:cs="Calibri"/>
                <w:b/>
                <w:bCs/>
                <w:color w:val="FFFFFF"/>
                <w:sz w:val="20"/>
                <w:szCs w:val="20"/>
              </w:rPr>
            </w:pPr>
            <w:r>
              <w:rPr>
                <w:rFonts w:ascii="Calibri" w:hAnsi="Calibri" w:cs="Calibri"/>
                <w:b/>
                <w:bCs/>
                <w:color w:val="FFFFFF"/>
                <w:sz w:val="20"/>
                <w:szCs w:val="20"/>
              </w:rPr>
              <w:t>Udio</w:t>
            </w:r>
          </w:p>
        </w:tc>
      </w:tr>
      <w:tr w:rsidR="00F302AF" w14:paraId="0EC8A7B0" w14:textId="77777777" w:rsidTr="00F302AF">
        <w:trPr>
          <w:trHeight w:val="340"/>
        </w:trPr>
        <w:tc>
          <w:tcPr>
            <w:tcW w:w="720" w:type="dxa"/>
            <w:tcBorders>
              <w:top w:val="nil"/>
              <w:left w:val="nil"/>
              <w:bottom w:val="single" w:sz="8" w:space="0" w:color="FFFFFF"/>
              <w:right w:val="single" w:sz="8" w:space="0" w:color="FFFFFF"/>
            </w:tcBorders>
            <w:shd w:val="clear" w:color="000000" w:fill="FFE699"/>
            <w:noWrap/>
            <w:vAlign w:val="center"/>
            <w:hideMark/>
          </w:tcPr>
          <w:p w14:paraId="3C8A4C3D" w14:textId="77777777" w:rsidR="00F302AF" w:rsidRDefault="00F302AF" w:rsidP="00F302AF">
            <w:pPr>
              <w:jc w:val="right"/>
              <w:rPr>
                <w:rFonts w:ascii="Calibri" w:hAnsi="Calibri" w:cs="Calibri"/>
                <w:b/>
                <w:bCs/>
                <w:color w:val="000000"/>
                <w:sz w:val="20"/>
                <w:szCs w:val="20"/>
              </w:rPr>
            </w:pPr>
            <w:r>
              <w:rPr>
                <w:rFonts w:ascii="Calibri" w:hAnsi="Calibri" w:cs="Calibri"/>
                <w:b/>
                <w:bCs/>
                <w:color w:val="000000"/>
                <w:sz w:val="20"/>
                <w:szCs w:val="20"/>
              </w:rPr>
              <w:t>6</w:t>
            </w:r>
          </w:p>
        </w:tc>
        <w:tc>
          <w:tcPr>
            <w:tcW w:w="4500" w:type="dxa"/>
            <w:tcBorders>
              <w:top w:val="nil"/>
              <w:left w:val="nil"/>
              <w:bottom w:val="single" w:sz="8" w:space="0" w:color="FFFFFF"/>
              <w:right w:val="single" w:sz="8" w:space="0" w:color="FFFFFF"/>
            </w:tcBorders>
            <w:shd w:val="clear" w:color="000000" w:fill="FFE699"/>
            <w:noWrap/>
            <w:vAlign w:val="center"/>
            <w:hideMark/>
          </w:tcPr>
          <w:p w14:paraId="209B8BFD" w14:textId="77777777" w:rsidR="00F302AF" w:rsidRDefault="00F302AF" w:rsidP="00F302AF">
            <w:pPr>
              <w:rPr>
                <w:rFonts w:ascii="Calibri" w:hAnsi="Calibri" w:cs="Calibri"/>
                <w:b/>
                <w:bCs/>
                <w:color w:val="000000"/>
                <w:sz w:val="20"/>
                <w:szCs w:val="20"/>
              </w:rPr>
            </w:pPr>
            <w:r>
              <w:rPr>
                <w:rFonts w:ascii="Calibri" w:hAnsi="Calibri" w:cs="Calibri"/>
                <w:b/>
                <w:bCs/>
                <w:color w:val="000000"/>
                <w:sz w:val="20"/>
                <w:szCs w:val="20"/>
              </w:rPr>
              <w:t>Prihodi poslovanja</w:t>
            </w:r>
          </w:p>
        </w:tc>
        <w:tc>
          <w:tcPr>
            <w:tcW w:w="2495" w:type="dxa"/>
            <w:tcBorders>
              <w:top w:val="nil"/>
              <w:left w:val="nil"/>
              <w:bottom w:val="single" w:sz="8" w:space="0" w:color="FFFFFF"/>
              <w:right w:val="single" w:sz="8" w:space="0" w:color="FFFFFF"/>
            </w:tcBorders>
            <w:shd w:val="clear" w:color="000000" w:fill="FFE699"/>
            <w:noWrap/>
            <w:vAlign w:val="center"/>
            <w:hideMark/>
          </w:tcPr>
          <w:p w14:paraId="0A563BDC" w14:textId="77777777" w:rsidR="00F302AF" w:rsidRDefault="00F302AF" w:rsidP="00F302AF">
            <w:pPr>
              <w:jc w:val="right"/>
              <w:rPr>
                <w:rFonts w:ascii="Calibri" w:hAnsi="Calibri" w:cs="Calibri"/>
                <w:b/>
                <w:bCs/>
                <w:color w:val="000000"/>
                <w:sz w:val="20"/>
                <w:szCs w:val="20"/>
              </w:rPr>
            </w:pPr>
            <w:r>
              <w:rPr>
                <w:rFonts w:ascii="Calibri" w:hAnsi="Calibri" w:cs="Calibri"/>
                <w:b/>
                <w:bCs/>
                <w:color w:val="000000"/>
                <w:sz w:val="20"/>
                <w:szCs w:val="20"/>
              </w:rPr>
              <w:t>915.832,30 €</w:t>
            </w:r>
          </w:p>
        </w:tc>
        <w:tc>
          <w:tcPr>
            <w:tcW w:w="1645" w:type="dxa"/>
            <w:tcBorders>
              <w:top w:val="nil"/>
              <w:left w:val="nil"/>
              <w:bottom w:val="single" w:sz="8" w:space="0" w:color="FFFFFF"/>
              <w:right w:val="nil"/>
            </w:tcBorders>
            <w:shd w:val="clear" w:color="000000" w:fill="FFE699"/>
            <w:noWrap/>
            <w:vAlign w:val="bottom"/>
            <w:hideMark/>
          </w:tcPr>
          <w:p w14:paraId="29431D52" w14:textId="77777777" w:rsidR="00F302AF" w:rsidRDefault="00F302AF" w:rsidP="00F302AF">
            <w:pPr>
              <w:rPr>
                <w:rFonts w:ascii="Calibri" w:hAnsi="Calibri" w:cs="Calibri"/>
                <w:color w:val="000000"/>
              </w:rPr>
            </w:pPr>
            <w:r>
              <w:rPr>
                <w:rFonts w:ascii="Calibri" w:hAnsi="Calibri" w:cs="Calibri"/>
                <w:color w:val="000000"/>
              </w:rPr>
              <w:t> </w:t>
            </w:r>
          </w:p>
        </w:tc>
      </w:tr>
      <w:tr w:rsidR="00F302AF" w14:paraId="77FAC23A" w14:textId="77777777" w:rsidTr="00F302AF">
        <w:trPr>
          <w:trHeight w:val="340"/>
        </w:trPr>
        <w:tc>
          <w:tcPr>
            <w:tcW w:w="720" w:type="dxa"/>
            <w:tcBorders>
              <w:top w:val="nil"/>
              <w:left w:val="nil"/>
              <w:bottom w:val="single" w:sz="8" w:space="0" w:color="FFFFFF"/>
              <w:right w:val="single" w:sz="8" w:space="0" w:color="FFFFFF"/>
            </w:tcBorders>
            <w:shd w:val="clear" w:color="000000" w:fill="FFF2CC"/>
            <w:noWrap/>
            <w:hideMark/>
          </w:tcPr>
          <w:p w14:paraId="42D5B6B2" w14:textId="77777777" w:rsidR="00F302AF" w:rsidRDefault="00F302AF" w:rsidP="00F302AF">
            <w:pPr>
              <w:jc w:val="right"/>
              <w:rPr>
                <w:rFonts w:ascii="Calibri" w:hAnsi="Calibri" w:cs="Calibri"/>
                <w:b/>
                <w:bCs/>
                <w:color w:val="000000"/>
                <w:sz w:val="20"/>
                <w:szCs w:val="20"/>
              </w:rPr>
            </w:pPr>
            <w:r>
              <w:rPr>
                <w:rFonts w:ascii="Calibri" w:hAnsi="Calibri" w:cs="Calibri"/>
                <w:b/>
                <w:bCs/>
                <w:color w:val="000000"/>
                <w:sz w:val="20"/>
                <w:szCs w:val="20"/>
              </w:rPr>
              <w:t>63</w:t>
            </w:r>
          </w:p>
        </w:tc>
        <w:tc>
          <w:tcPr>
            <w:tcW w:w="4500" w:type="dxa"/>
            <w:tcBorders>
              <w:top w:val="nil"/>
              <w:left w:val="nil"/>
              <w:bottom w:val="single" w:sz="8" w:space="0" w:color="FFFFFF"/>
              <w:right w:val="single" w:sz="8" w:space="0" w:color="FFFFFF"/>
            </w:tcBorders>
            <w:shd w:val="clear" w:color="000000" w:fill="FFF2CC"/>
            <w:vAlign w:val="center"/>
            <w:hideMark/>
          </w:tcPr>
          <w:p w14:paraId="1BCEA781" w14:textId="77777777" w:rsidR="00F302AF" w:rsidRDefault="00F302AF" w:rsidP="00F302AF">
            <w:pPr>
              <w:rPr>
                <w:rFonts w:ascii="Calibri" w:hAnsi="Calibri" w:cs="Calibri"/>
                <w:b/>
                <w:bCs/>
                <w:color w:val="000000"/>
                <w:sz w:val="20"/>
                <w:szCs w:val="20"/>
              </w:rPr>
            </w:pPr>
            <w:r>
              <w:rPr>
                <w:rFonts w:ascii="Calibri" w:hAnsi="Calibri" w:cs="Calibri"/>
                <w:b/>
                <w:bCs/>
                <w:color w:val="000000"/>
                <w:sz w:val="20"/>
                <w:szCs w:val="20"/>
              </w:rPr>
              <w:t>Pomoći iz inozemstva i od subjekata unutar općeg proračuna</w:t>
            </w:r>
          </w:p>
        </w:tc>
        <w:tc>
          <w:tcPr>
            <w:tcW w:w="2495" w:type="dxa"/>
            <w:tcBorders>
              <w:top w:val="nil"/>
              <w:left w:val="nil"/>
              <w:bottom w:val="single" w:sz="8" w:space="0" w:color="FFFFFF"/>
              <w:right w:val="single" w:sz="8" w:space="0" w:color="FFFFFF"/>
            </w:tcBorders>
            <w:shd w:val="clear" w:color="000000" w:fill="FFF2CC"/>
            <w:noWrap/>
            <w:vAlign w:val="center"/>
            <w:hideMark/>
          </w:tcPr>
          <w:p w14:paraId="61FCB55C" w14:textId="77777777" w:rsidR="00F302AF" w:rsidRDefault="00F302AF" w:rsidP="00F302AF">
            <w:pPr>
              <w:jc w:val="right"/>
              <w:rPr>
                <w:rFonts w:ascii="Calibri" w:hAnsi="Calibri" w:cs="Calibri"/>
                <w:b/>
                <w:bCs/>
                <w:color w:val="000000"/>
                <w:sz w:val="20"/>
                <w:szCs w:val="20"/>
              </w:rPr>
            </w:pPr>
            <w:r>
              <w:rPr>
                <w:rFonts w:ascii="Calibri" w:hAnsi="Calibri" w:cs="Calibri"/>
                <w:b/>
                <w:bCs/>
                <w:color w:val="000000"/>
                <w:sz w:val="20"/>
                <w:szCs w:val="20"/>
              </w:rPr>
              <w:t>224.324,72 €</w:t>
            </w:r>
          </w:p>
        </w:tc>
        <w:tc>
          <w:tcPr>
            <w:tcW w:w="1645" w:type="dxa"/>
            <w:tcBorders>
              <w:top w:val="nil"/>
              <w:left w:val="nil"/>
              <w:bottom w:val="single" w:sz="8" w:space="0" w:color="FFFFFF"/>
              <w:right w:val="nil"/>
            </w:tcBorders>
            <w:shd w:val="clear" w:color="000000" w:fill="FFF2CC"/>
            <w:noWrap/>
            <w:vAlign w:val="center"/>
            <w:hideMark/>
          </w:tcPr>
          <w:p w14:paraId="36C67EC9" w14:textId="77777777" w:rsidR="00F302AF" w:rsidRDefault="00F302AF" w:rsidP="00F302AF">
            <w:pPr>
              <w:jc w:val="right"/>
              <w:rPr>
                <w:rFonts w:ascii="Calibri" w:hAnsi="Calibri" w:cs="Calibri"/>
                <w:b/>
                <w:bCs/>
                <w:color w:val="000000"/>
                <w:sz w:val="20"/>
                <w:szCs w:val="20"/>
              </w:rPr>
            </w:pPr>
            <w:r>
              <w:rPr>
                <w:rFonts w:ascii="Calibri" w:hAnsi="Calibri" w:cs="Calibri"/>
                <w:b/>
                <w:bCs/>
                <w:color w:val="000000"/>
                <w:sz w:val="20"/>
                <w:szCs w:val="20"/>
              </w:rPr>
              <w:t>24,49%</w:t>
            </w:r>
          </w:p>
        </w:tc>
      </w:tr>
      <w:tr w:rsidR="00F302AF" w14:paraId="677649AB" w14:textId="77777777" w:rsidTr="00F302AF">
        <w:trPr>
          <w:trHeight w:val="340"/>
        </w:trPr>
        <w:tc>
          <w:tcPr>
            <w:tcW w:w="720" w:type="dxa"/>
            <w:tcBorders>
              <w:top w:val="nil"/>
              <w:left w:val="nil"/>
              <w:bottom w:val="single" w:sz="8" w:space="0" w:color="FFFFFF"/>
              <w:right w:val="single" w:sz="8" w:space="0" w:color="FFFFFF"/>
            </w:tcBorders>
            <w:shd w:val="clear" w:color="000000" w:fill="FFE699"/>
            <w:noWrap/>
            <w:vAlign w:val="center"/>
            <w:hideMark/>
          </w:tcPr>
          <w:p w14:paraId="69FA29C6" w14:textId="77777777" w:rsidR="00F302AF" w:rsidRDefault="00F302AF" w:rsidP="00F302AF">
            <w:pPr>
              <w:jc w:val="right"/>
              <w:rPr>
                <w:rFonts w:ascii="Calibri" w:hAnsi="Calibri" w:cs="Calibri"/>
                <w:color w:val="000000"/>
                <w:sz w:val="20"/>
                <w:szCs w:val="20"/>
              </w:rPr>
            </w:pPr>
            <w:bookmarkStart w:id="1" w:name="RANGE!B6"/>
            <w:r>
              <w:rPr>
                <w:rFonts w:ascii="Calibri" w:hAnsi="Calibri" w:cs="Calibri"/>
                <w:color w:val="000000"/>
                <w:sz w:val="20"/>
                <w:szCs w:val="20"/>
              </w:rPr>
              <w:t>636</w:t>
            </w:r>
            <w:bookmarkEnd w:id="1"/>
          </w:p>
        </w:tc>
        <w:tc>
          <w:tcPr>
            <w:tcW w:w="4500" w:type="dxa"/>
            <w:tcBorders>
              <w:top w:val="nil"/>
              <w:left w:val="nil"/>
              <w:bottom w:val="single" w:sz="8" w:space="0" w:color="FFFFFF"/>
              <w:right w:val="single" w:sz="8" w:space="0" w:color="FFFFFF"/>
            </w:tcBorders>
            <w:shd w:val="clear" w:color="000000" w:fill="FFE699"/>
            <w:vAlign w:val="center"/>
            <w:hideMark/>
          </w:tcPr>
          <w:p w14:paraId="3D2170C3" w14:textId="77777777" w:rsidR="00F302AF" w:rsidRDefault="00F302AF" w:rsidP="00F302AF">
            <w:pPr>
              <w:rPr>
                <w:rFonts w:ascii="Calibri" w:hAnsi="Calibri" w:cs="Calibri"/>
                <w:color w:val="000000"/>
                <w:sz w:val="20"/>
                <w:szCs w:val="20"/>
              </w:rPr>
            </w:pPr>
            <w:r>
              <w:rPr>
                <w:rFonts w:ascii="Calibri" w:hAnsi="Calibri" w:cs="Calibri"/>
                <w:color w:val="000000"/>
                <w:sz w:val="20"/>
                <w:szCs w:val="20"/>
              </w:rPr>
              <w:t>Pomoći proračunskim korisnicima iz proračuna koji im nije nadležan</w:t>
            </w:r>
          </w:p>
        </w:tc>
        <w:tc>
          <w:tcPr>
            <w:tcW w:w="2495" w:type="dxa"/>
            <w:tcBorders>
              <w:top w:val="nil"/>
              <w:left w:val="nil"/>
              <w:bottom w:val="single" w:sz="8" w:space="0" w:color="FFFFFF"/>
              <w:right w:val="single" w:sz="8" w:space="0" w:color="FFFFFF"/>
            </w:tcBorders>
            <w:shd w:val="clear" w:color="000000" w:fill="FFE699"/>
            <w:noWrap/>
            <w:vAlign w:val="center"/>
            <w:hideMark/>
          </w:tcPr>
          <w:p w14:paraId="46EFCEE4" w14:textId="77777777" w:rsidR="00F302AF" w:rsidRDefault="00F302AF" w:rsidP="00F302AF">
            <w:pPr>
              <w:jc w:val="right"/>
              <w:rPr>
                <w:rFonts w:ascii="Calibri" w:hAnsi="Calibri" w:cs="Calibri"/>
                <w:color w:val="000000"/>
                <w:sz w:val="20"/>
                <w:szCs w:val="20"/>
              </w:rPr>
            </w:pPr>
            <w:r>
              <w:rPr>
                <w:rFonts w:ascii="Calibri" w:hAnsi="Calibri" w:cs="Calibri"/>
                <w:color w:val="000000"/>
                <w:sz w:val="20"/>
                <w:szCs w:val="20"/>
              </w:rPr>
              <w:t>224.324,72 €</w:t>
            </w:r>
          </w:p>
        </w:tc>
        <w:tc>
          <w:tcPr>
            <w:tcW w:w="1645" w:type="dxa"/>
            <w:tcBorders>
              <w:top w:val="nil"/>
              <w:left w:val="nil"/>
              <w:bottom w:val="single" w:sz="8" w:space="0" w:color="FFFFFF"/>
              <w:right w:val="nil"/>
            </w:tcBorders>
            <w:shd w:val="clear" w:color="000000" w:fill="FFE699"/>
            <w:noWrap/>
            <w:vAlign w:val="bottom"/>
            <w:hideMark/>
          </w:tcPr>
          <w:p w14:paraId="78E0E9CD" w14:textId="77777777" w:rsidR="00F302AF" w:rsidRDefault="00F302AF" w:rsidP="00F302AF">
            <w:pPr>
              <w:rPr>
                <w:rFonts w:ascii="Calibri" w:hAnsi="Calibri" w:cs="Calibri"/>
                <w:color w:val="000000"/>
              </w:rPr>
            </w:pPr>
            <w:r>
              <w:rPr>
                <w:rFonts w:ascii="Calibri" w:hAnsi="Calibri" w:cs="Calibri"/>
                <w:color w:val="000000"/>
              </w:rPr>
              <w:t> </w:t>
            </w:r>
          </w:p>
        </w:tc>
      </w:tr>
      <w:tr w:rsidR="00F302AF" w14:paraId="28A9F226" w14:textId="77777777" w:rsidTr="00F302AF">
        <w:trPr>
          <w:trHeight w:val="340"/>
        </w:trPr>
        <w:tc>
          <w:tcPr>
            <w:tcW w:w="720" w:type="dxa"/>
            <w:tcBorders>
              <w:top w:val="nil"/>
              <w:left w:val="nil"/>
              <w:bottom w:val="single" w:sz="8" w:space="0" w:color="FFFFFF"/>
              <w:right w:val="single" w:sz="8" w:space="0" w:color="FFFFFF"/>
            </w:tcBorders>
            <w:shd w:val="clear" w:color="000000" w:fill="FFF2CC"/>
            <w:noWrap/>
            <w:vAlign w:val="center"/>
            <w:hideMark/>
          </w:tcPr>
          <w:p w14:paraId="3FF50A0D" w14:textId="77777777" w:rsidR="00F302AF" w:rsidRDefault="00F302AF" w:rsidP="00F302AF">
            <w:pPr>
              <w:jc w:val="right"/>
              <w:rPr>
                <w:rFonts w:ascii="Calibri" w:hAnsi="Calibri" w:cs="Calibri"/>
                <w:b/>
                <w:bCs/>
                <w:color w:val="000000"/>
                <w:sz w:val="20"/>
                <w:szCs w:val="20"/>
              </w:rPr>
            </w:pPr>
            <w:r>
              <w:rPr>
                <w:rFonts w:ascii="Calibri" w:hAnsi="Calibri" w:cs="Calibri"/>
                <w:b/>
                <w:bCs/>
                <w:color w:val="000000"/>
                <w:sz w:val="20"/>
                <w:szCs w:val="20"/>
              </w:rPr>
              <w:t>64</w:t>
            </w:r>
          </w:p>
        </w:tc>
        <w:tc>
          <w:tcPr>
            <w:tcW w:w="4500" w:type="dxa"/>
            <w:tcBorders>
              <w:top w:val="nil"/>
              <w:left w:val="nil"/>
              <w:bottom w:val="single" w:sz="8" w:space="0" w:color="FFFFFF"/>
              <w:right w:val="single" w:sz="8" w:space="0" w:color="FFFFFF"/>
            </w:tcBorders>
            <w:shd w:val="clear" w:color="000000" w:fill="FFF2CC"/>
            <w:noWrap/>
            <w:vAlign w:val="center"/>
            <w:hideMark/>
          </w:tcPr>
          <w:p w14:paraId="368F61E6" w14:textId="77777777" w:rsidR="00F302AF" w:rsidRDefault="00F302AF" w:rsidP="00F302AF">
            <w:pPr>
              <w:rPr>
                <w:rFonts w:ascii="Calibri" w:hAnsi="Calibri" w:cs="Calibri"/>
                <w:b/>
                <w:bCs/>
                <w:color w:val="000000"/>
                <w:sz w:val="20"/>
                <w:szCs w:val="20"/>
              </w:rPr>
            </w:pPr>
            <w:r>
              <w:rPr>
                <w:rFonts w:ascii="Calibri" w:hAnsi="Calibri" w:cs="Calibri"/>
                <w:b/>
                <w:bCs/>
                <w:color w:val="000000"/>
                <w:sz w:val="20"/>
                <w:szCs w:val="20"/>
              </w:rPr>
              <w:t>Prihodi od imovine</w:t>
            </w:r>
          </w:p>
        </w:tc>
        <w:tc>
          <w:tcPr>
            <w:tcW w:w="2495" w:type="dxa"/>
            <w:tcBorders>
              <w:top w:val="nil"/>
              <w:left w:val="nil"/>
              <w:bottom w:val="single" w:sz="8" w:space="0" w:color="FFFFFF"/>
              <w:right w:val="single" w:sz="8" w:space="0" w:color="FFFFFF"/>
            </w:tcBorders>
            <w:shd w:val="clear" w:color="000000" w:fill="FFF2CC"/>
            <w:noWrap/>
            <w:vAlign w:val="center"/>
            <w:hideMark/>
          </w:tcPr>
          <w:p w14:paraId="35AB91D7" w14:textId="77777777" w:rsidR="00F302AF" w:rsidRDefault="00F302AF" w:rsidP="00F302AF">
            <w:pPr>
              <w:jc w:val="right"/>
              <w:rPr>
                <w:rFonts w:ascii="Calibri" w:hAnsi="Calibri" w:cs="Calibri"/>
                <w:b/>
                <w:bCs/>
                <w:color w:val="000000"/>
                <w:sz w:val="20"/>
                <w:szCs w:val="20"/>
              </w:rPr>
            </w:pPr>
            <w:r>
              <w:rPr>
                <w:rFonts w:ascii="Calibri" w:hAnsi="Calibri" w:cs="Calibri"/>
                <w:b/>
                <w:bCs/>
                <w:color w:val="000000"/>
                <w:sz w:val="20"/>
                <w:szCs w:val="20"/>
              </w:rPr>
              <w:t>0,00 €</w:t>
            </w:r>
          </w:p>
        </w:tc>
        <w:tc>
          <w:tcPr>
            <w:tcW w:w="1645" w:type="dxa"/>
            <w:tcBorders>
              <w:top w:val="nil"/>
              <w:left w:val="nil"/>
              <w:bottom w:val="single" w:sz="8" w:space="0" w:color="FFFFFF"/>
              <w:right w:val="nil"/>
            </w:tcBorders>
            <w:shd w:val="clear" w:color="000000" w:fill="FFF2CC"/>
            <w:noWrap/>
            <w:vAlign w:val="center"/>
            <w:hideMark/>
          </w:tcPr>
          <w:p w14:paraId="1206C46B" w14:textId="77777777" w:rsidR="00F302AF" w:rsidRDefault="00F302AF" w:rsidP="00F302AF">
            <w:pPr>
              <w:jc w:val="right"/>
              <w:rPr>
                <w:rFonts w:ascii="Calibri" w:hAnsi="Calibri" w:cs="Calibri"/>
                <w:b/>
                <w:bCs/>
                <w:color w:val="000000"/>
                <w:sz w:val="20"/>
                <w:szCs w:val="20"/>
              </w:rPr>
            </w:pPr>
            <w:r>
              <w:rPr>
                <w:rFonts w:ascii="Calibri" w:hAnsi="Calibri" w:cs="Calibri"/>
                <w:b/>
                <w:bCs/>
                <w:color w:val="000000"/>
                <w:sz w:val="20"/>
                <w:szCs w:val="20"/>
              </w:rPr>
              <w:t>0,00%</w:t>
            </w:r>
          </w:p>
        </w:tc>
      </w:tr>
      <w:tr w:rsidR="00F302AF" w14:paraId="0E45193B" w14:textId="77777777" w:rsidTr="00F302AF">
        <w:trPr>
          <w:trHeight w:val="340"/>
        </w:trPr>
        <w:tc>
          <w:tcPr>
            <w:tcW w:w="720" w:type="dxa"/>
            <w:tcBorders>
              <w:top w:val="nil"/>
              <w:left w:val="nil"/>
              <w:bottom w:val="single" w:sz="8" w:space="0" w:color="FFFFFF"/>
              <w:right w:val="single" w:sz="8" w:space="0" w:color="FFFFFF"/>
            </w:tcBorders>
            <w:shd w:val="clear" w:color="000000" w:fill="FFE699"/>
            <w:noWrap/>
            <w:vAlign w:val="center"/>
            <w:hideMark/>
          </w:tcPr>
          <w:p w14:paraId="1ABB54E7" w14:textId="77777777" w:rsidR="00F302AF" w:rsidRDefault="00F302AF" w:rsidP="00F302AF">
            <w:pPr>
              <w:jc w:val="right"/>
              <w:rPr>
                <w:rFonts w:ascii="Calibri" w:hAnsi="Calibri" w:cs="Calibri"/>
                <w:color w:val="000000"/>
                <w:sz w:val="20"/>
                <w:szCs w:val="20"/>
              </w:rPr>
            </w:pPr>
            <w:bookmarkStart w:id="2" w:name="RANGE!B8"/>
            <w:r>
              <w:rPr>
                <w:rFonts w:ascii="Calibri" w:hAnsi="Calibri" w:cs="Calibri"/>
                <w:color w:val="000000"/>
                <w:sz w:val="20"/>
                <w:szCs w:val="20"/>
              </w:rPr>
              <w:t>641</w:t>
            </w:r>
            <w:bookmarkEnd w:id="2"/>
          </w:p>
        </w:tc>
        <w:tc>
          <w:tcPr>
            <w:tcW w:w="4500" w:type="dxa"/>
            <w:tcBorders>
              <w:top w:val="nil"/>
              <w:left w:val="nil"/>
              <w:bottom w:val="single" w:sz="8" w:space="0" w:color="FFFFFF"/>
              <w:right w:val="single" w:sz="8" w:space="0" w:color="FFFFFF"/>
            </w:tcBorders>
            <w:shd w:val="clear" w:color="000000" w:fill="FFE699"/>
            <w:noWrap/>
            <w:vAlign w:val="center"/>
            <w:hideMark/>
          </w:tcPr>
          <w:p w14:paraId="1FB4E522" w14:textId="77777777" w:rsidR="00F302AF" w:rsidRDefault="00F302AF" w:rsidP="00F302AF">
            <w:pPr>
              <w:rPr>
                <w:rFonts w:ascii="Calibri" w:hAnsi="Calibri" w:cs="Calibri"/>
                <w:color w:val="000000"/>
                <w:sz w:val="20"/>
                <w:szCs w:val="20"/>
              </w:rPr>
            </w:pPr>
            <w:r>
              <w:rPr>
                <w:rFonts w:ascii="Calibri" w:hAnsi="Calibri" w:cs="Calibri"/>
                <w:color w:val="000000"/>
                <w:sz w:val="20"/>
                <w:szCs w:val="20"/>
              </w:rPr>
              <w:t>Prihodi od financijske imovine</w:t>
            </w:r>
          </w:p>
        </w:tc>
        <w:tc>
          <w:tcPr>
            <w:tcW w:w="2495" w:type="dxa"/>
            <w:tcBorders>
              <w:top w:val="nil"/>
              <w:left w:val="nil"/>
              <w:bottom w:val="single" w:sz="8" w:space="0" w:color="FFFFFF"/>
              <w:right w:val="single" w:sz="8" w:space="0" w:color="FFFFFF"/>
            </w:tcBorders>
            <w:shd w:val="clear" w:color="000000" w:fill="FFE699"/>
            <w:noWrap/>
            <w:vAlign w:val="center"/>
            <w:hideMark/>
          </w:tcPr>
          <w:p w14:paraId="79C6FA34" w14:textId="77777777" w:rsidR="00F302AF" w:rsidRDefault="00F302AF" w:rsidP="00F302AF">
            <w:pPr>
              <w:jc w:val="right"/>
              <w:rPr>
                <w:rFonts w:ascii="Calibri" w:hAnsi="Calibri" w:cs="Calibri"/>
                <w:color w:val="000000"/>
                <w:sz w:val="20"/>
                <w:szCs w:val="20"/>
              </w:rPr>
            </w:pPr>
            <w:r>
              <w:rPr>
                <w:rFonts w:ascii="Calibri" w:hAnsi="Calibri" w:cs="Calibri"/>
                <w:color w:val="000000"/>
                <w:sz w:val="20"/>
                <w:szCs w:val="20"/>
              </w:rPr>
              <w:t>0,00 €</w:t>
            </w:r>
          </w:p>
        </w:tc>
        <w:tc>
          <w:tcPr>
            <w:tcW w:w="1645" w:type="dxa"/>
            <w:tcBorders>
              <w:top w:val="nil"/>
              <w:left w:val="nil"/>
              <w:bottom w:val="single" w:sz="8" w:space="0" w:color="FFFFFF"/>
              <w:right w:val="nil"/>
            </w:tcBorders>
            <w:shd w:val="clear" w:color="000000" w:fill="FFE699"/>
            <w:noWrap/>
            <w:vAlign w:val="bottom"/>
            <w:hideMark/>
          </w:tcPr>
          <w:p w14:paraId="61798736" w14:textId="77777777" w:rsidR="00F302AF" w:rsidRDefault="00F302AF" w:rsidP="00F302AF">
            <w:pPr>
              <w:rPr>
                <w:rFonts w:ascii="Calibri" w:hAnsi="Calibri" w:cs="Calibri"/>
                <w:color w:val="000000"/>
              </w:rPr>
            </w:pPr>
            <w:r>
              <w:rPr>
                <w:rFonts w:ascii="Calibri" w:hAnsi="Calibri" w:cs="Calibri"/>
                <w:color w:val="000000"/>
              </w:rPr>
              <w:t> </w:t>
            </w:r>
          </w:p>
        </w:tc>
      </w:tr>
      <w:tr w:rsidR="00F302AF" w14:paraId="2289F565" w14:textId="77777777" w:rsidTr="00F302AF">
        <w:trPr>
          <w:trHeight w:val="340"/>
        </w:trPr>
        <w:tc>
          <w:tcPr>
            <w:tcW w:w="720" w:type="dxa"/>
            <w:tcBorders>
              <w:top w:val="nil"/>
              <w:left w:val="nil"/>
              <w:bottom w:val="single" w:sz="8" w:space="0" w:color="FFFFFF"/>
              <w:right w:val="single" w:sz="8" w:space="0" w:color="FFFFFF"/>
            </w:tcBorders>
            <w:shd w:val="clear" w:color="000000" w:fill="FFF2CC"/>
            <w:noWrap/>
            <w:vAlign w:val="center"/>
            <w:hideMark/>
          </w:tcPr>
          <w:p w14:paraId="0BE5B485" w14:textId="77777777" w:rsidR="00F302AF" w:rsidRDefault="00F302AF" w:rsidP="00F302AF">
            <w:pPr>
              <w:jc w:val="right"/>
              <w:rPr>
                <w:rFonts w:ascii="Calibri" w:hAnsi="Calibri" w:cs="Calibri"/>
                <w:b/>
                <w:bCs/>
                <w:color w:val="000000"/>
                <w:sz w:val="20"/>
                <w:szCs w:val="20"/>
              </w:rPr>
            </w:pPr>
            <w:r>
              <w:rPr>
                <w:rFonts w:ascii="Calibri" w:hAnsi="Calibri" w:cs="Calibri"/>
                <w:b/>
                <w:bCs/>
                <w:color w:val="000000"/>
                <w:sz w:val="20"/>
                <w:szCs w:val="20"/>
              </w:rPr>
              <w:t>65</w:t>
            </w:r>
          </w:p>
        </w:tc>
        <w:tc>
          <w:tcPr>
            <w:tcW w:w="4500" w:type="dxa"/>
            <w:tcBorders>
              <w:top w:val="nil"/>
              <w:left w:val="nil"/>
              <w:bottom w:val="single" w:sz="8" w:space="0" w:color="FFFFFF"/>
              <w:right w:val="single" w:sz="8" w:space="0" w:color="FFFFFF"/>
            </w:tcBorders>
            <w:shd w:val="clear" w:color="000000" w:fill="FFF2CC"/>
            <w:vAlign w:val="center"/>
            <w:hideMark/>
          </w:tcPr>
          <w:p w14:paraId="064AFBC1" w14:textId="77777777" w:rsidR="00F302AF" w:rsidRDefault="00F302AF" w:rsidP="00F302AF">
            <w:pPr>
              <w:rPr>
                <w:rFonts w:ascii="Calibri" w:hAnsi="Calibri" w:cs="Calibri"/>
                <w:b/>
                <w:bCs/>
                <w:color w:val="000000"/>
                <w:sz w:val="20"/>
                <w:szCs w:val="20"/>
              </w:rPr>
            </w:pPr>
            <w:r>
              <w:rPr>
                <w:rFonts w:ascii="Calibri" w:hAnsi="Calibri" w:cs="Calibri"/>
                <w:b/>
                <w:bCs/>
                <w:color w:val="000000"/>
                <w:sz w:val="20"/>
                <w:szCs w:val="20"/>
              </w:rPr>
              <w:t>Prihodi od upravnih i administrativnih pristojbi, prihodi po posebnim propisima i naknadama</w:t>
            </w:r>
          </w:p>
        </w:tc>
        <w:tc>
          <w:tcPr>
            <w:tcW w:w="2495" w:type="dxa"/>
            <w:tcBorders>
              <w:top w:val="nil"/>
              <w:left w:val="nil"/>
              <w:bottom w:val="single" w:sz="8" w:space="0" w:color="FFFFFF"/>
              <w:right w:val="single" w:sz="8" w:space="0" w:color="FFFFFF"/>
            </w:tcBorders>
            <w:shd w:val="clear" w:color="000000" w:fill="FFF2CC"/>
            <w:noWrap/>
            <w:vAlign w:val="center"/>
            <w:hideMark/>
          </w:tcPr>
          <w:p w14:paraId="05A8DFC0" w14:textId="77777777" w:rsidR="00F302AF" w:rsidRDefault="00F302AF" w:rsidP="00F302AF">
            <w:pPr>
              <w:jc w:val="right"/>
              <w:rPr>
                <w:rFonts w:ascii="Calibri" w:hAnsi="Calibri" w:cs="Calibri"/>
                <w:b/>
                <w:bCs/>
                <w:color w:val="000000"/>
                <w:sz w:val="20"/>
                <w:szCs w:val="20"/>
              </w:rPr>
            </w:pPr>
            <w:r>
              <w:rPr>
                <w:rFonts w:ascii="Calibri" w:hAnsi="Calibri" w:cs="Calibri"/>
                <w:b/>
                <w:bCs/>
                <w:color w:val="000000"/>
                <w:sz w:val="20"/>
                <w:szCs w:val="20"/>
              </w:rPr>
              <w:t>0,00 €</w:t>
            </w:r>
          </w:p>
        </w:tc>
        <w:tc>
          <w:tcPr>
            <w:tcW w:w="1645" w:type="dxa"/>
            <w:tcBorders>
              <w:top w:val="nil"/>
              <w:left w:val="nil"/>
              <w:bottom w:val="single" w:sz="8" w:space="0" w:color="FFFFFF"/>
              <w:right w:val="nil"/>
            </w:tcBorders>
            <w:shd w:val="clear" w:color="000000" w:fill="FFF2CC"/>
            <w:noWrap/>
            <w:vAlign w:val="bottom"/>
            <w:hideMark/>
          </w:tcPr>
          <w:p w14:paraId="3A9C8AEA" w14:textId="77777777" w:rsidR="00F302AF" w:rsidRDefault="00F302AF" w:rsidP="00F302AF">
            <w:pPr>
              <w:jc w:val="right"/>
              <w:rPr>
                <w:rFonts w:ascii="Calibri" w:hAnsi="Calibri" w:cs="Calibri"/>
                <w:b/>
                <w:bCs/>
                <w:color w:val="000000"/>
              </w:rPr>
            </w:pPr>
            <w:r>
              <w:rPr>
                <w:rFonts w:ascii="Calibri" w:hAnsi="Calibri" w:cs="Calibri"/>
                <w:b/>
                <w:bCs/>
                <w:color w:val="000000"/>
              </w:rPr>
              <w:t>0,00%</w:t>
            </w:r>
          </w:p>
        </w:tc>
      </w:tr>
      <w:tr w:rsidR="00F302AF" w14:paraId="080F6830" w14:textId="77777777" w:rsidTr="00F302AF">
        <w:trPr>
          <w:trHeight w:val="340"/>
        </w:trPr>
        <w:tc>
          <w:tcPr>
            <w:tcW w:w="720" w:type="dxa"/>
            <w:tcBorders>
              <w:top w:val="nil"/>
              <w:left w:val="nil"/>
              <w:bottom w:val="single" w:sz="8" w:space="0" w:color="FFFFFF"/>
              <w:right w:val="single" w:sz="8" w:space="0" w:color="FFFFFF"/>
            </w:tcBorders>
            <w:shd w:val="clear" w:color="000000" w:fill="FFE699"/>
            <w:noWrap/>
            <w:vAlign w:val="center"/>
            <w:hideMark/>
          </w:tcPr>
          <w:p w14:paraId="2197FAFC" w14:textId="77777777" w:rsidR="00F302AF" w:rsidRDefault="00F302AF" w:rsidP="00F302AF">
            <w:pPr>
              <w:jc w:val="right"/>
              <w:rPr>
                <w:rFonts w:ascii="Calibri" w:hAnsi="Calibri" w:cs="Calibri"/>
                <w:color w:val="000000"/>
                <w:sz w:val="20"/>
                <w:szCs w:val="20"/>
              </w:rPr>
            </w:pPr>
            <w:r>
              <w:rPr>
                <w:rFonts w:ascii="Calibri" w:hAnsi="Calibri" w:cs="Calibri"/>
                <w:color w:val="000000"/>
                <w:sz w:val="20"/>
                <w:szCs w:val="20"/>
              </w:rPr>
              <w:t>652</w:t>
            </w:r>
          </w:p>
        </w:tc>
        <w:tc>
          <w:tcPr>
            <w:tcW w:w="4500" w:type="dxa"/>
            <w:tcBorders>
              <w:top w:val="nil"/>
              <w:left w:val="nil"/>
              <w:bottom w:val="single" w:sz="8" w:space="0" w:color="FFFFFF"/>
              <w:right w:val="single" w:sz="8" w:space="0" w:color="FFFFFF"/>
            </w:tcBorders>
            <w:shd w:val="clear" w:color="000000" w:fill="FFE699"/>
            <w:noWrap/>
            <w:vAlign w:val="center"/>
            <w:hideMark/>
          </w:tcPr>
          <w:p w14:paraId="5E846079" w14:textId="77777777" w:rsidR="00F302AF" w:rsidRDefault="00F302AF" w:rsidP="00F302AF">
            <w:pPr>
              <w:rPr>
                <w:rFonts w:ascii="Calibri" w:hAnsi="Calibri" w:cs="Calibri"/>
                <w:color w:val="000000"/>
                <w:sz w:val="20"/>
                <w:szCs w:val="20"/>
              </w:rPr>
            </w:pPr>
            <w:r>
              <w:rPr>
                <w:rFonts w:ascii="Calibri" w:hAnsi="Calibri" w:cs="Calibri"/>
                <w:color w:val="000000"/>
                <w:sz w:val="20"/>
                <w:szCs w:val="20"/>
              </w:rPr>
              <w:t>Prihodi po posebnim propisima</w:t>
            </w:r>
          </w:p>
        </w:tc>
        <w:tc>
          <w:tcPr>
            <w:tcW w:w="2495" w:type="dxa"/>
            <w:tcBorders>
              <w:top w:val="nil"/>
              <w:left w:val="nil"/>
              <w:bottom w:val="single" w:sz="8" w:space="0" w:color="FFFFFF"/>
              <w:right w:val="single" w:sz="8" w:space="0" w:color="FFFFFF"/>
            </w:tcBorders>
            <w:shd w:val="clear" w:color="000000" w:fill="FFE699"/>
            <w:noWrap/>
            <w:vAlign w:val="center"/>
            <w:hideMark/>
          </w:tcPr>
          <w:p w14:paraId="1775F460" w14:textId="77777777" w:rsidR="00F302AF" w:rsidRDefault="00F302AF" w:rsidP="00F302AF">
            <w:pPr>
              <w:jc w:val="right"/>
              <w:rPr>
                <w:rFonts w:ascii="Calibri" w:hAnsi="Calibri" w:cs="Calibri"/>
                <w:color w:val="000000"/>
                <w:sz w:val="20"/>
                <w:szCs w:val="20"/>
              </w:rPr>
            </w:pPr>
            <w:r>
              <w:rPr>
                <w:rFonts w:ascii="Calibri" w:hAnsi="Calibri" w:cs="Calibri"/>
                <w:color w:val="000000"/>
                <w:sz w:val="20"/>
                <w:szCs w:val="20"/>
              </w:rPr>
              <w:t>0,00 €</w:t>
            </w:r>
          </w:p>
        </w:tc>
        <w:tc>
          <w:tcPr>
            <w:tcW w:w="1645" w:type="dxa"/>
            <w:tcBorders>
              <w:top w:val="nil"/>
              <w:left w:val="nil"/>
              <w:bottom w:val="single" w:sz="8" w:space="0" w:color="FFFFFF"/>
              <w:right w:val="nil"/>
            </w:tcBorders>
            <w:shd w:val="clear" w:color="000000" w:fill="FFE699"/>
            <w:noWrap/>
            <w:vAlign w:val="bottom"/>
            <w:hideMark/>
          </w:tcPr>
          <w:p w14:paraId="232CC85D" w14:textId="77777777" w:rsidR="00F302AF" w:rsidRDefault="00F302AF" w:rsidP="00F302AF">
            <w:pPr>
              <w:rPr>
                <w:rFonts w:ascii="Calibri" w:hAnsi="Calibri" w:cs="Calibri"/>
                <w:color w:val="000000"/>
              </w:rPr>
            </w:pPr>
            <w:r>
              <w:rPr>
                <w:rFonts w:ascii="Calibri" w:hAnsi="Calibri" w:cs="Calibri"/>
                <w:color w:val="000000"/>
              </w:rPr>
              <w:t> </w:t>
            </w:r>
          </w:p>
        </w:tc>
      </w:tr>
      <w:tr w:rsidR="00F302AF" w14:paraId="6384B7EB" w14:textId="77777777" w:rsidTr="00F302AF">
        <w:trPr>
          <w:trHeight w:val="340"/>
        </w:trPr>
        <w:tc>
          <w:tcPr>
            <w:tcW w:w="720" w:type="dxa"/>
            <w:tcBorders>
              <w:top w:val="nil"/>
              <w:left w:val="nil"/>
              <w:bottom w:val="single" w:sz="8" w:space="0" w:color="FFFFFF"/>
              <w:right w:val="single" w:sz="8" w:space="0" w:color="FFFFFF"/>
            </w:tcBorders>
            <w:shd w:val="clear" w:color="000000" w:fill="FFF2CC"/>
            <w:noWrap/>
            <w:hideMark/>
          </w:tcPr>
          <w:p w14:paraId="521CA917" w14:textId="77777777" w:rsidR="00F302AF" w:rsidRDefault="00F302AF" w:rsidP="00F302AF">
            <w:pPr>
              <w:jc w:val="right"/>
              <w:rPr>
                <w:rFonts w:ascii="Calibri" w:hAnsi="Calibri" w:cs="Calibri"/>
                <w:b/>
                <w:bCs/>
                <w:color w:val="000000"/>
                <w:sz w:val="20"/>
                <w:szCs w:val="20"/>
              </w:rPr>
            </w:pPr>
            <w:bookmarkStart w:id="3" w:name="RANGE!B11"/>
            <w:r>
              <w:rPr>
                <w:rFonts w:ascii="Calibri" w:hAnsi="Calibri" w:cs="Calibri"/>
                <w:b/>
                <w:bCs/>
                <w:color w:val="000000"/>
                <w:sz w:val="20"/>
                <w:szCs w:val="20"/>
              </w:rPr>
              <w:lastRenderedPageBreak/>
              <w:t>66</w:t>
            </w:r>
            <w:bookmarkEnd w:id="3"/>
          </w:p>
        </w:tc>
        <w:tc>
          <w:tcPr>
            <w:tcW w:w="4500" w:type="dxa"/>
            <w:tcBorders>
              <w:top w:val="nil"/>
              <w:left w:val="nil"/>
              <w:bottom w:val="single" w:sz="8" w:space="0" w:color="FFFFFF"/>
              <w:right w:val="single" w:sz="8" w:space="0" w:color="FFFFFF"/>
            </w:tcBorders>
            <w:shd w:val="clear" w:color="000000" w:fill="FFF2CC"/>
            <w:vAlign w:val="center"/>
            <w:hideMark/>
          </w:tcPr>
          <w:p w14:paraId="308FC547" w14:textId="77777777" w:rsidR="00F302AF" w:rsidRDefault="00F302AF" w:rsidP="00F302AF">
            <w:pPr>
              <w:rPr>
                <w:rFonts w:ascii="Calibri" w:hAnsi="Calibri" w:cs="Calibri"/>
                <w:b/>
                <w:bCs/>
                <w:color w:val="000000"/>
                <w:sz w:val="20"/>
                <w:szCs w:val="20"/>
              </w:rPr>
            </w:pPr>
            <w:r>
              <w:rPr>
                <w:rFonts w:ascii="Calibri" w:hAnsi="Calibri" w:cs="Calibri"/>
                <w:b/>
                <w:bCs/>
                <w:color w:val="000000"/>
                <w:sz w:val="20"/>
                <w:szCs w:val="20"/>
              </w:rPr>
              <w:t>Prihodi od prodaje proizvoda i roba te pruženih usluga i prihodi od donacija</w:t>
            </w:r>
          </w:p>
        </w:tc>
        <w:tc>
          <w:tcPr>
            <w:tcW w:w="2495" w:type="dxa"/>
            <w:tcBorders>
              <w:top w:val="nil"/>
              <w:left w:val="nil"/>
              <w:bottom w:val="single" w:sz="8" w:space="0" w:color="FFFFFF"/>
              <w:right w:val="single" w:sz="8" w:space="0" w:color="FFFFFF"/>
            </w:tcBorders>
            <w:shd w:val="clear" w:color="000000" w:fill="FFF2CC"/>
            <w:noWrap/>
            <w:vAlign w:val="center"/>
            <w:hideMark/>
          </w:tcPr>
          <w:p w14:paraId="168FFA2E" w14:textId="77777777" w:rsidR="00F302AF" w:rsidRDefault="00F302AF" w:rsidP="00F302AF">
            <w:pPr>
              <w:jc w:val="right"/>
              <w:rPr>
                <w:rFonts w:ascii="Calibri" w:hAnsi="Calibri" w:cs="Calibri"/>
                <w:b/>
                <w:bCs/>
                <w:color w:val="000000"/>
                <w:sz w:val="20"/>
                <w:szCs w:val="20"/>
              </w:rPr>
            </w:pPr>
            <w:r>
              <w:rPr>
                <w:rFonts w:ascii="Calibri" w:hAnsi="Calibri" w:cs="Calibri"/>
                <w:b/>
                <w:bCs/>
                <w:color w:val="000000"/>
                <w:sz w:val="20"/>
                <w:szCs w:val="20"/>
              </w:rPr>
              <w:t>93.065,10 €</w:t>
            </w:r>
          </w:p>
        </w:tc>
        <w:tc>
          <w:tcPr>
            <w:tcW w:w="1645" w:type="dxa"/>
            <w:tcBorders>
              <w:top w:val="nil"/>
              <w:left w:val="nil"/>
              <w:bottom w:val="single" w:sz="8" w:space="0" w:color="FFFFFF"/>
              <w:right w:val="nil"/>
            </w:tcBorders>
            <w:shd w:val="clear" w:color="000000" w:fill="FFF2CC"/>
            <w:noWrap/>
            <w:vAlign w:val="center"/>
            <w:hideMark/>
          </w:tcPr>
          <w:p w14:paraId="2C7D71D5" w14:textId="77777777" w:rsidR="00F302AF" w:rsidRDefault="00F302AF" w:rsidP="00F302AF">
            <w:pPr>
              <w:jc w:val="right"/>
              <w:rPr>
                <w:rFonts w:ascii="Calibri" w:hAnsi="Calibri" w:cs="Calibri"/>
                <w:b/>
                <w:bCs/>
                <w:color w:val="000000"/>
                <w:sz w:val="20"/>
                <w:szCs w:val="20"/>
              </w:rPr>
            </w:pPr>
            <w:r>
              <w:rPr>
                <w:rFonts w:ascii="Calibri" w:hAnsi="Calibri" w:cs="Calibri"/>
                <w:b/>
                <w:bCs/>
                <w:color w:val="000000"/>
                <w:sz w:val="20"/>
                <w:szCs w:val="20"/>
              </w:rPr>
              <w:t>10,16%</w:t>
            </w:r>
          </w:p>
        </w:tc>
      </w:tr>
      <w:tr w:rsidR="00F302AF" w14:paraId="3C1ACA78" w14:textId="77777777" w:rsidTr="00F302AF">
        <w:trPr>
          <w:trHeight w:val="340"/>
        </w:trPr>
        <w:tc>
          <w:tcPr>
            <w:tcW w:w="720" w:type="dxa"/>
            <w:tcBorders>
              <w:top w:val="nil"/>
              <w:left w:val="nil"/>
              <w:bottom w:val="single" w:sz="8" w:space="0" w:color="FFFFFF"/>
              <w:right w:val="single" w:sz="8" w:space="0" w:color="FFFFFF"/>
            </w:tcBorders>
            <w:shd w:val="clear" w:color="000000" w:fill="FFE699"/>
            <w:noWrap/>
            <w:vAlign w:val="center"/>
            <w:hideMark/>
          </w:tcPr>
          <w:p w14:paraId="75908D68" w14:textId="77777777" w:rsidR="00F302AF" w:rsidRDefault="00F302AF" w:rsidP="00F302AF">
            <w:pPr>
              <w:jc w:val="right"/>
              <w:rPr>
                <w:rFonts w:ascii="Calibri" w:hAnsi="Calibri" w:cs="Calibri"/>
                <w:color w:val="000000"/>
                <w:sz w:val="20"/>
                <w:szCs w:val="20"/>
              </w:rPr>
            </w:pPr>
            <w:r>
              <w:rPr>
                <w:rFonts w:ascii="Calibri" w:hAnsi="Calibri" w:cs="Calibri"/>
                <w:color w:val="000000"/>
                <w:sz w:val="20"/>
                <w:szCs w:val="20"/>
              </w:rPr>
              <w:t>661</w:t>
            </w:r>
          </w:p>
        </w:tc>
        <w:tc>
          <w:tcPr>
            <w:tcW w:w="4500" w:type="dxa"/>
            <w:tcBorders>
              <w:top w:val="nil"/>
              <w:left w:val="nil"/>
              <w:bottom w:val="single" w:sz="8" w:space="0" w:color="FFFFFF"/>
              <w:right w:val="single" w:sz="8" w:space="0" w:color="FFFFFF"/>
            </w:tcBorders>
            <w:shd w:val="clear" w:color="000000" w:fill="FFE699"/>
            <w:noWrap/>
            <w:vAlign w:val="center"/>
            <w:hideMark/>
          </w:tcPr>
          <w:p w14:paraId="458DC338" w14:textId="77777777" w:rsidR="00F302AF" w:rsidRDefault="00F302AF" w:rsidP="00F302AF">
            <w:pPr>
              <w:rPr>
                <w:rFonts w:ascii="Calibri" w:hAnsi="Calibri" w:cs="Calibri"/>
                <w:color w:val="000000"/>
                <w:sz w:val="20"/>
                <w:szCs w:val="20"/>
              </w:rPr>
            </w:pPr>
            <w:r>
              <w:rPr>
                <w:rFonts w:ascii="Calibri" w:hAnsi="Calibri" w:cs="Calibri"/>
                <w:color w:val="000000"/>
                <w:sz w:val="20"/>
                <w:szCs w:val="20"/>
              </w:rPr>
              <w:t>Prihodi od prodaje proizvoda i roba te pruženih usluga</w:t>
            </w:r>
          </w:p>
        </w:tc>
        <w:tc>
          <w:tcPr>
            <w:tcW w:w="2495" w:type="dxa"/>
            <w:tcBorders>
              <w:top w:val="nil"/>
              <w:left w:val="nil"/>
              <w:bottom w:val="single" w:sz="8" w:space="0" w:color="FFFFFF"/>
              <w:right w:val="single" w:sz="8" w:space="0" w:color="FFFFFF"/>
            </w:tcBorders>
            <w:shd w:val="clear" w:color="000000" w:fill="FFE699"/>
            <w:noWrap/>
            <w:vAlign w:val="center"/>
            <w:hideMark/>
          </w:tcPr>
          <w:p w14:paraId="6A871FAC" w14:textId="77777777" w:rsidR="00F302AF" w:rsidRDefault="00F302AF" w:rsidP="00F302AF">
            <w:pPr>
              <w:jc w:val="right"/>
              <w:rPr>
                <w:rFonts w:ascii="Calibri" w:hAnsi="Calibri" w:cs="Calibri"/>
                <w:color w:val="000000"/>
                <w:sz w:val="20"/>
                <w:szCs w:val="20"/>
              </w:rPr>
            </w:pPr>
            <w:r>
              <w:rPr>
                <w:rFonts w:ascii="Calibri" w:hAnsi="Calibri" w:cs="Calibri"/>
                <w:color w:val="000000"/>
                <w:sz w:val="20"/>
                <w:szCs w:val="20"/>
              </w:rPr>
              <w:t>9.880,35 €</w:t>
            </w:r>
          </w:p>
        </w:tc>
        <w:tc>
          <w:tcPr>
            <w:tcW w:w="1645" w:type="dxa"/>
            <w:tcBorders>
              <w:top w:val="nil"/>
              <w:left w:val="nil"/>
              <w:bottom w:val="single" w:sz="8" w:space="0" w:color="FFFFFF"/>
              <w:right w:val="nil"/>
            </w:tcBorders>
            <w:shd w:val="clear" w:color="000000" w:fill="FFE699"/>
            <w:noWrap/>
            <w:vAlign w:val="bottom"/>
            <w:hideMark/>
          </w:tcPr>
          <w:p w14:paraId="5CD6EBA4" w14:textId="77777777" w:rsidR="00F302AF" w:rsidRDefault="00F302AF" w:rsidP="00F302AF">
            <w:pPr>
              <w:rPr>
                <w:rFonts w:ascii="Calibri" w:hAnsi="Calibri" w:cs="Calibri"/>
                <w:color w:val="000000"/>
              </w:rPr>
            </w:pPr>
            <w:r>
              <w:rPr>
                <w:rFonts w:ascii="Calibri" w:hAnsi="Calibri" w:cs="Calibri"/>
                <w:color w:val="000000"/>
              </w:rPr>
              <w:t> </w:t>
            </w:r>
          </w:p>
        </w:tc>
      </w:tr>
      <w:tr w:rsidR="00F302AF" w14:paraId="5FE76663" w14:textId="77777777" w:rsidTr="00F302AF">
        <w:trPr>
          <w:trHeight w:val="340"/>
        </w:trPr>
        <w:tc>
          <w:tcPr>
            <w:tcW w:w="720" w:type="dxa"/>
            <w:tcBorders>
              <w:top w:val="nil"/>
              <w:left w:val="nil"/>
              <w:bottom w:val="single" w:sz="8" w:space="0" w:color="FFFFFF"/>
              <w:right w:val="single" w:sz="8" w:space="0" w:color="FFFFFF"/>
            </w:tcBorders>
            <w:shd w:val="clear" w:color="000000" w:fill="FFF2CC"/>
            <w:noWrap/>
            <w:vAlign w:val="center"/>
            <w:hideMark/>
          </w:tcPr>
          <w:p w14:paraId="6AD639E7" w14:textId="77777777" w:rsidR="00F302AF" w:rsidRDefault="00F302AF" w:rsidP="00F302AF">
            <w:pPr>
              <w:jc w:val="right"/>
              <w:rPr>
                <w:rFonts w:ascii="Calibri" w:hAnsi="Calibri" w:cs="Calibri"/>
                <w:color w:val="000000"/>
                <w:sz w:val="20"/>
                <w:szCs w:val="20"/>
              </w:rPr>
            </w:pPr>
            <w:r>
              <w:rPr>
                <w:rFonts w:ascii="Calibri" w:hAnsi="Calibri" w:cs="Calibri"/>
                <w:color w:val="000000"/>
                <w:sz w:val="20"/>
                <w:szCs w:val="20"/>
              </w:rPr>
              <w:t>663</w:t>
            </w:r>
          </w:p>
        </w:tc>
        <w:tc>
          <w:tcPr>
            <w:tcW w:w="4500" w:type="dxa"/>
            <w:tcBorders>
              <w:top w:val="nil"/>
              <w:left w:val="nil"/>
              <w:bottom w:val="single" w:sz="8" w:space="0" w:color="FFFFFF"/>
              <w:right w:val="single" w:sz="8" w:space="0" w:color="FFFFFF"/>
            </w:tcBorders>
            <w:shd w:val="clear" w:color="000000" w:fill="FFF2CC"/>
            <w:noWrap/>
            <w:vAlign w:val="center"/>
            <w:hideMark/>
          </w:tcPr>
          <w:p w14:paraId="37784ABB" w14:textId="77777777" w:rsidR="00F302AF" w:rsidRDefault="00F302AF" w:rsidP="00F302AF">
            <w:pPr>
              <w:rPr>
                <w:rFonts w:ascii="Calibri" w:hAnsi="Calibri" w:cs="Calibri"/>
                <w:color w:val="000000"/>
                <w:sz w:val="20"/>
                <w:szCs w:val="20"/>
              </w:rPr>
            </w:pPr>
            <w:r>
              <w:rPr>
                <w:rFonts w:ascii="Calibri" w:hAnsi="Calibri" w:cs="Calibri"/>
                <w:color w:val="000000"/>
                <w:sz w:val="20"/>
                <w:szCs w:val="20"/>
              </w:rPr>
              <w:t>Donacije od pravnih i fizičkih osoba izvan općeg proračuna</w:t>
            </w:r>
          </w:p>
        </w:tc>
        <w:tc>
          <w:tcPr>
            <w:tcW w:w="2495" w:type="dxa"/>
            <w:tcBorders>
              <w:top w:val="nil"/>
              <w:left w:val="nil"/>
              <w:bottom w:val="single" w:sz="8" w:space="0" w:color="FFFFFF"/>
              <w:right w:val="single" w:sz="8" w:space="0" w:color="FFFFFF"/>
            </w:tcBorders>
            <w:shd w:val="clear" w:color="000000" w:fill="FFF2CC"/>
            <w:noWrap/>
            <w:vAlign w:val="center"/>
            <w:hideMark/>
          </w:tcPr>
          <w:p w14:paraId="1CD7AC7F" w14:textId="77777777" w:rsidR="00F302AF" w:rsidRDefault="00F302AF" w:rsidP="00F302AF">
            <w:pPr>
              <w:jc w:val="right"/>
              <w:rPr>
                <w:rFonts w:ascii="Calibri" w:hAnsi="Calibri" w:cs="Calibri"/>
                <w:color w:val="000000"/>
                <w:sz w:val="20"/>
                <w:szCs w:val="20"/>
              </w:rPr>
            </w:pPr>
            <w:r>
              <w:rPr>
                <w:rFonts w:ascii="Calibri" w:hAnsi="Calibri" w:cs="Calibri"/>
                <w:color w:val="000000"/>
                <w:sz w:val="20"/>
                <w:szCs w:val="20"/>
              </w:rPr>
              <w:t>83.184,75 €</w:t>
            </w:r>
          </w:p>
        </w:tc>
        <w:tc>
          <w:tcPr>
            <w:tcW w:w="1645" w:type="dxa"/>
            <w:tcBorders>
              <w:top w:val="nil"/>
              <w:left w:val="nil"/>
              <w:bottom w:val="single" w:sz="8" w:space="0" w:color="FFFFFF"/>
              <w:right w:val="nil"/>
            </w:tcBorders>
            <w:shd w:val="clear" w:color="000000" w:fill="FFF2CC"/>
            <w:noWrap/>
            <w:vAlign w:val="bottom"/>
            <w:hideMark/>
          </w:tcPr>
          <w:p w14:paraId="19013F55" w14:textId="77777777" w:rsidR="00F302AF" w:rsidRDefault="00F302AF" w:rsidP="00F302AF">
            <w:pPr>
              <w:rPr>
                <w:rFonts w:ascii="Calibri" w:hAnsi="Calibri" w:cs="Calibri"/>
                <w:color w:val="000000"/>
              </w:rPr>
            </w:pPr>
            <w:r>
              <w:rPr>
                <w:rFonts w:ascii="Calibri" w:hAnsi="Calibri" w:cs="Calibri"/>
                <w:color w:val="000000"/>
              </w:rPr>
              <w:t> </w:t>
            </w:r>
          </w:p>
        </w:tc>
      </w:tr>
      <w:tr w:rsidR="00F302AF" w14:paraId="200B567D" w14:textId="77777777" w:rsidTr="00F302AF">
        <w:trPr>
          <w:trHeight w:val="340"/>
        </w:trPr>
        <w:tc>
          <w:tcPr>
            <w:tcW w:w="720" w:type="dxa"/>
            <w:tcBorders>
              <w:top w:val="nil"/>
              <w:left w:val="nil"/>
              <w:bottom w:val="single" w:sz="8" w:space="0" w:color="FFFFFF"/>
              <w:right w:val="single" w:sz="8" w:space="0" w:color="FFFFFF"/>
            </w:tcBorders>
            <w:shd w:val="clear" w:color="000000" w:fill="FFE699"/>
            <w:noWrap/>
            <w:vAlign w:val="center"/>
            <w:hideMark/>
          </w:tcPr>
          <w:p w14:paraId="4B4FBAE2" w14:textId="77777777" w:rsidR="00F302AF" w:rsidRDefault="00F302AF" w:rsidP="00F302AF">
            <w:pPr>
              <w:jc w:val="right"/>
              <w:rPr>
                <w:rFonts w:ascii="Calibri" w:hAnsi="Calibri" w:cs="Calibri"/>
                <w:b/>
                <w:bCs/>
                <w:color w:val="000000"/>
                <w:sz w:val="20"/>
                <w:szCs w:val="20"/>
              </w:rPr>
            </w:pPr>
            <w:bookmarkStart w:id="4" w:name="RANGE!B14"/>
            <w:r>
              <w:rPr>
                <w:rFonts w:ascii="Calibri" w:hAnsi="Calibri" w:cs="Calibri"/>
                <w:b/>
                <w:bCs/>
                <w:color w:val="000000"/>
                <w:sz w:val="20"/>
                <w:szCs w:val="20"/>
              </w:rPr>
              <w:t>67</w:t>
            </w:r>
            <w:bookmarkEnd w:id="4"/>
          </w:p>
        </w:tc>
        <w:tc>
          <w:tcPr>
            <w:tcW w:w="4500" w:type="dxa"/>
            <w:tcBorders>
              <w:top w:val="nil"/>
              <w:left w:val="nil"/>
              <w:bottom w:val="single" w:sz="8" w:space="0" w:color="FFFFFF"/>
              <w:right w:val="single" w:sz="8" w:space="0" w:color="FFFFFF"/>
            </w:tcBorders>
            <w:shd w:val="clear" w:color="000000" w:fill="FFE699"/>
            <w:noWrap/>
            <w:vAlign w:val="center"/>
            <w:hideMark/>
          </w:tcPr>
          <w:p w14:paraId="4CC13E8D" w14:textId="77777777" w:rsidR="00F302AF" w:rsidRDefault="00F302AF" w:rsidP="00F302AF">
            <w:pPr>
              <w:rPr>
                <w:rFonts w:ascii="Calibri" w:hAnsi="Calibri" w:cs="Calibri"/>
                <w:b/>
                <w:bCs/>
                <w:color w:val="000000"/>
                <w:sz w:val="20"/>
                <w:szCs w:val="20"/>
              </w:rPr>
            </w:pPr>
            <w:r>
              <w:rPr>
                <w:rFonts w:ascii="Calibri" w:hAnsi="Calibri" w:cs="Calibri"/>
                <w:b/>
                <w:bCs/>
                <w:color w:val="000000"/>
                <w:sz w:val="20"/>
                <w:szCs w:val="20"/>
              </w:rPr>
              <w:t>Prihodi iz nadležnog proračuna</w:t>
            </w:r>
          </w:p>
        </w:tc>
        <w:tc>
          <w:tcPr>
            <w:tcW w:w="2495" w:type="dxa"/>
            <w:tcBorders>
              <w:top w:val="nil"/>
              <w:left w:val="nil"/>
              <w:bottom w:val="single" w:sz="8" w:space="0" w:color="FFFFFF"/>
              <w:right w:val="single" w:sz="8" w:space="0" w:color="FFFFFF"/>
            </w:tcBorders>
            <w:shd w:val="clear" w:color="000000" w:fill="FFE699"/>
            <w:noWrap/>
            <w:vAlign w:val="center"/>
            <w:hideMark/>
          </w:tcPr>
          <w:p w14:paraId="2C8987E2" w14:textId="77777777" w:rsidR="00F302AF" w:rsidRDefault="00F302AF" w:rsidP="00F302AF">
            <w:pPr>
              <w:jc w:val="right"/>
              <w:rPr>
                <w:rFonts w:ascii="Calibri" w:hAnsi="Calibri" w:cs="Calibri"/>
                <w:b/>
                <w:bCs/>
                <w:color w:val="000000"/>
                <w:sz w:val="20"/>
                <w:szCs w:val="20"/>
              </w:rPr>
            </w:pPr>
            <w:r>
              <w:rPr>
                <w:rFonts w:ascii="Calibri" w:hAnsi="Calibri" w:cs="Calibri"/>
                <w:b/>
                <w:bCs/>
                <w:color w:val="000000"/>
                <w:sz w:val="20"/>
                <w:szCs w:val="20"/>
              </w:rPr>
              <w:t>598.442,48 €</w:t>
            </w:r>
          </w:p>
        </w:tc>
        <w:tc>
          <w:tcPr>
            <w:tcW w:w="1645" w:type="dxa"/>
            <w:tcBorders>
              <w:top w:val="nil"/>
              <w:left w:val="nil"/>
              <w:bottom w:val="single" w:sz="8" w:space="0" w:color="FFFFFF"/>
              <w:right w:val="nil"/>
            </w:tcBorders>
            <w:shd w:val="clear" w:color="000000" w:fill="FFE699"/>
            <w:noWrap/>
            <w:vAlign w:val="center"/>
            <w:hideMark/>
          </w:tcPr>
          <w:p w14:paraId="332EA8B7" w14:textId="77777777" w:rsidR="00F302AF" w:rsidRDefault="00F302AF" w:rsidP="00F302AF">
            <w:pPr>
              <w:jc w:val="right"/>
              <w:rPr>
                <w:rFonts w:ascii="Calibri" w:hAnsi="Calibri" w:cs="Calibri"/>
                <w:b/>
                <w:bCs/>
                <w:color w:val="000000"/>
                <w:sz w:val="20"/>
                <w:szCs w:val="20"/>
              </w:rPr>
            </w:pPr>
            <w:r>
              <w:rPr>
                <w:rFonts w:ascii="Calibri" w:hAnsi="Calibri" w:cs="Calibri"/>
                <w:b/>
                <w:bCs/>
                <w:color w:val="000000"/>
                <w:sz w:val="20"/>
                <w:szCs w:val="20"/>
              </w:rPr>
              <w:t>65,34%</w:t>
            </w:r>
          </w:p>
        </w:tc>
      </w:tr>
      <w:tr w:rsidR="00F302AF" w14:paraId="132AFF81" w14:textId="77777777" w:rsidTr="00F302AF">
        <w:trPr>
          <w:trHeight w:val="340"/>
        </w:trPr>
        <w:tc>
          <w:tcPr>
            <w:tcW w:w="720" w:type="dxa"/>
            <w:tcBorders>
              <w:top w:val="nil"/>
              <w:left w:val="nil"/>
              <w:bottom w:val="single" w:sz="8" w:space="0" w:color="FFFFFF"/>
              <w:right w:val="single" w:sz="8" w:space="0" w:color="FFFFFF"/>
            </w:tcBorders>
            <w:shd w:val="clear" w:color="000000" w:fill="FFF2CC"/>
            <w:noWrap/>
            <w:hideMark/>
          </w:tcPr>
          <w:p w14:paraId="6E01C35D" w14:textId="77777777" w:rsidR="00F302AF" w:rsidRDefault="00F302AF" w:rsidP="00F302AF">
            <w:pPr>
              <w:jc w:val="right"/>
              <w:rPr>
                <w:rFonts w:ascii="Calibri" w:hAnsi="Calibri" w:cs="Calibri"/>
                <w:color w:val="000000"/>
                <w:sz w:val="20"/>
                <w:szCs w:val="20"/>
              </w:rPr>
            </w:pPr>
            <w:r>
              <w:rPr>
                <w:rFonts w:ascii="Calibri" w:hAnsi="Calibri" w:cs="Calibri"/>
                <w:color w:val="000000"/>
                <w:sz w:val="20"/>
                <w:szCs w:val="20"/>
              </w:rPr>
              <w:t>671</w:t>
            </w:r>
          </w:p>
        </w:tc>
        <w:tc>
          <w:tcPr>
            <w:tcW w:w="4500" w:type="dxa"/>
            <w:tcBorders>
              <w:top w:val="nil"/>
              <w:left w:val="nil"/>
              <w:bottom w:val="single" w:sz="8" w:space="0" w:color="FFFFFF"/>
              <w:right w:val="single" w:sz="8" w:space="0" w:color="FFFFFF"/>
            </w:tcBorders>
            <w:shd w:val="clear" w:color="000000" w:fill="FFF2CC"/>
            <w:vAlign w:val="center"/>
            <w:hideMark/>
          </w:tcPr>
          <w:p w14:paraId="54B0AB57" w14:textId="77777777" w:rsidR="00F302AF" w:rsidRDefault="00F302AF" w:rsidP="00F302AF">
            <w:pPr>
              <w:rPr>
                <w:rFonts w:ascii="Calibri" w:hAnsi="Calibri" w:cs="Calibri"/>
                <w:color w:val="000000"/>
                <w:sz w:val="20"/>
                <w:szCs w:val="20"/>
              </w:rPr>
            </w:pPr>
            <w:r>
              <w:rPr>
                <w:rFonts w:ascii="Calibri" w:hAnsi="Calibri" w:cs="Calibri"/>
                <w:color w:val="000000"/>
                <w:sz w:val="20"/>
                <w:szCs w:val="20"/>
              </w:rPr>
              <w:t>Prihodi iz nadležnog proračuna za financiranje redovne djelatnosti proračunskih korisnika</w:t>
            </w:r>
          </w:p>
        </w:tc>
        <w:tc>
          <w:tcPr>
            <w:tcW w:w="2495" w:type="dxa"/>
            <w:tcBorders>
              <w:top w:val="nil"/>
              <w:left w:val="nil"/>
              <w:bottom w:val="single" w:sz="8" w:space="0" w:color="FFFFFF"/>
              <w:right w:val="single" w:sz="8" w:space="0" w:color="FFFFFF"/>
            </w:tcBorders>
            <w:shd w:val="clear" w:color="000000" w:fill="FFF2CC"/>
            <w:noWrap/>
            <w:vAlign w:val="center"/>
            <w:hideMark/>
          </w:tcPr>
          <w:p w14:paraId="18A9F975" w14:textId="77777777" w:rsidR="00F302AF" w:rsidRDefault="00F302AF" w:rsidP="00F302AF">
            <w:pPr>
              <w:jc w:val="right"/>
              <w:rPr>
                <w:rFonts w:ascii="Calibri" w:hAnsi="Calibri" w:cs="Calibri"/>
                <w:color w:val="000000"/>
                <w:sz w:val="20"/>
                <w:szCs w:val="20"/>
              </w:rPr>
            </w:pPr>
            <w:r>
              <w:rPr>
                <w:rFonts w:ascii="Calibri" w:hAnsi="Calibri" w:cs="Calibri"/>
                <w:color w:val="000000"/>
                <w:sz w:val="20"/>
                <w:szCs w:val="20"/>
              </w:rPr>
              <w:t>598.442,48 €</w:t>
            </w:r>
          </w:p>
        </w:tc>
        <w:tc>
          <w:tcPr>
            <w:tcW w:w="1645" w:type="dxa"/>
            <w:tcBorders>
              <w:top w:val="nil"/>
              <w:left w:val="nil"/>
              <w:bottom w:val="single" w:sz="8" w:space="0" w:color="FFFFFF"/>
              <w:right w:val="nil"/>
            </w:tcBorders>
            <w:shd w:val="clear" w:color="000000" w:fill="FFF2CC"/>
            <w:noWrap/>
            <w:vAlign w:val="bottom"/>
            <w:hideMark/>
          </w:tcPr>
          <w:p w14:paraId="4BD3B09B" w14:textId="77777777" w:rsidR="00F302AF" w:rsidRDefault="00F302AF" w:rsidP="00F302AF">
            <w:pPr>
              <w:rPr>
                <w:rFonts w:ascii="Calibri" w:hAnsi="Calibri" w:cs="Calibri"/>
                <w:color w:val="000000"/>
              </w:rPr>
            </w:pPr>
            <w:r>
              <w:rPr>
                <w:rFonts w:ascii="Calibri" w:hAnsi="Calibri" w:cs="Calibri"/>
                <w:color w:val="000000"/>
              </w:rPr>
              <w:t> </w:t>
            </w:r>
          </w:p>
        </w:tc>
      </w:tr>
      <w:tr w:rsidR="00F302AF" w14:paraId="1090E9E1" w14:textId="77777777" w:rsidTr="00F302AF">
        <w:trPr>
          <w:trHeight w:val="340"/>
        </w:trPr>
        <w:tc>
          <w:tcPr>
            <w:tcW w:w="720" w:type="dxa"/>
            <w:tcBorders>
              <w:top w:val="nil"/>
              <w:left w:val="nil"/>
              <w:bottom w:val="nil"/>
              <w:right w:val="single" w:sz="8" w:space="0" w:color="FFFFFF"/>
            </w:tcBorders>
            <w:shd w:val="clear" w:color="000000" w:fill="FFE699"/>
            <w:noWrap/>
            <w:hideMark/>
          </w:tcPr>
          <w:p w14:paraId="7398BF7E" w14:textId="77777777" w:rsidR="00F302AF" w:rsidRDefault="00F302AF" w:rsidP="00F302AF">
            <w:pPr>
              <w:jc w:val="right"/>
              <w:rPr>
                <w:rFonts w:ascii="Calibri" w:hAnsi="Calibri" w:cs="Calibri"/>
                <w:b/>
                <w:bCs/>
                <w:color w:val="000000"/>
                <w:sz w:val="20"/>
                <w:szCs w:val="20"/>
              </w:rPr>
            </w:pPr>
            <w:r>
              <w:rPr>
                <w:rFonts w:ascii="Calibri" w:hAnsi="Calibri" w:cs="Calibri"/>
                <w:b/>
                <w:bCs/>
                <w:color w:val="000000"/>
                <w:sz w:val="20"/>
                <w:szCs w:val="20"/>
              </w:rPr>
              <w:t>68</w:t>
            </w:r>
          </w:p>
        </w:tc>
        <w:tc>
          <w:tcPr>
            <w:tcW w:w="4500" w:type="dxa"/>
            <w:tcBorders>
              <w:top w:val="nil"/>
              <w:left w:val="nil"/>
              <w:bottom w:val="nil"/>
              <w:right w:val="single" w:sz="8" w:space="0" w:color="FFFFFF"/>
            </w:tcBorders>
            <w:shd w:val="clear" w:color="000000" w:fill="FFE699"/>
            <w:hideMark/>
          </w:tcPr>
          <w:p w14:paraId="45F7377D" w14:textId="77777777" w:rsidR="00F302AF" w:rsidRDefault="00F302AF" w:rsidP="00F302AF">
            <w:pPr>
              <w:rPr>
                <w:rFonts w:ascii="Calibri" w:hAnsi="Calibri" w:cs="Calibri"/>
                <w:b/>
                <w:bCs/>
                <w:color w:val="000000"/>
                <w:sz w:val="20"/>
                <w:szCs w:val="20"/>
              </w:rPr>
            </w:pPr>
            <w:r>
              <w:rPr>
                <w:rFonts w:ascii="Calibri" w:hAnsi="Calibri" w:cs="Calibri"/>
                <w:b/>
                <w:bCs/>
                <w:color w:val="000000"/>
                <w:sz w:val="20"/>
                <w:szCs w:val="20"/>
              </w:rPr>
              <w:t>Kazne, upravne mjere i ostali prihodi</w:t>
            </w:r>
          </w:p>
        </w:tc>
        <w:tc>
          <w:tcPr>
            <w:tcW w:w="2495" w:type="dxa"/>
            <w:tcBorders>
              <w:top w:val="nil"/>
              <w:left w:val="nil"/>
              <w:bottom w:val="nil"/>
              <w:right w:val="single" w:sz="8" w:space="0" w:color="FFFFFF"/>
            </w:tcBorders>
            <w:shd w:val="clear" w:color="000000" w:fill="FFE699"/>
            <w:noWrap/>
            <w:vAlign w:val="center"/>
            <w:hideMark/>
          </w:tcPr>
          <w:p w14:paraId="381893D9" w14:textId="77777777" w:rsidR="00F302AF" w:rsidRDefault="00F302AF" w:rsidP="00F302AF">
            <w:pPr>
              <w:jc w:val="right"/>
              <w:rPr>
                <w:rFonts w:ascii="Calibri" w:hAnsi="Calibri" w:cs="Calibri"/>
                <w:b/>
                <w:bCs/>
                <w:color w:val="000000"/>
                <w:sz w:val="20"/>
                <w:szCs w:val="20"/>
              </w:rPr>
            </w:pPr>
            <w:r>
              <w:rPr>
                <w:rFonts w:ascii="Calibri" w:hAnsi="Calibri" w:cs="Calibri"/>
                <w:b/>
                <w:bCs/>
                <w:color w:val="000000"/>
                <w:sz w:val="20"/>
                <w:szCs w:val="20"/>
              </w:rPr>
              <w:t>0,00 €</w:t>
            </w:r>
          </w:p>
        </w:tc>
        <w:tc>
          <w:tcPr>
            <w:tcW w:w="1645" w:type="dxa"/>
            <w:tcBorders>
              <w:top w:val="nil"/>
              <w:left w:val="nil"/>
              <w:bottom w:val="nil"/>
              <w:right w:val="nil"/>
            </w:tcBorders>
            <w:shd w:val="clear" w:color="000000" w:fill="FFE699"/>
            <w:noWrap/>
            <w:vAlign w:val="bottom"/>
            <w:hideMark/>
          </w:tcPr>
          <w:p w14:paraId="21ECB2B7" w14:textId="77777777" w:rsidR="00F302AF" w:rsidRDefault="00F302AF" w:rsidP="00F302AF">
            <w:pPr>
              <w:jc w:val="right"/>
              <w:rPr>
                <w:rFonts w:ascii="Calibri" w:hAnsi="Calibri" w:cs="Calibri"/>
                <w:b/>
                <w:bCs/>
                <w:color w:val="000000"/>
              </w:rPr>
            </w:pPr>
            <w:r>
              <w:rPr>
                <w:rFonts w:ascii="Calibri" w:hAnsi="Calibri" w:cs="Calibri"/>
                <w:b/>
                <w:bCs/>
                <w:color w:val="000000"/>
              </w:rPr>
              <w:t>0,00%</w:t>
            </w:r>
          </w:p>
        </w:tc>
      </w:tr>
      <w:tr w:rsidR="00F302AF" w14:paraId="7B682EF6" w14:textId="77777777" w:rsidTr="00F302AF">
        <w:trPr>
          <w:trHeight w:val="340"/>
        </w:trPr>
        <w:tc>
          <w:tcPr>
            <w:tcW w:w="720" w:type="dxa"/>
            <w:tcBorders>
              <w:top w:val="nil"/>
              <w:left w:val="nil"/>
              <w:bottom w:val="nil"/>
              <w:right w:val="single" w:sz="8" w:space="0" w:color="FFFFFF"/>
            </w:tcBorders>
            <w:shd w:val="clear" w:color="000000" w:fill="FFF2CC"/>
            <w:noWrap/>
            <w:hideMark/>
          </w:tcPr>
          <w:p w14:paraId="22691696" w14:textId="77777777" w:rsidR="00F302AF" w:rsidRDefault="00F302AF" w:rsidP="00F302AF">
            <w:pPr>
              <w:jc w:val="right"/>
              <w:rPr>
                <w:rFonts w:ascii="Calibri" w:hAnsi="Calibri" w:cs="Calibri"/>
                <w:color w:val="000000"/>
                <w:sz w:val="20"/>
                <w:szCs w:val="20"/>
              </w:rPr>
            </w:pPr>
            <w:r>
              <w:rPr>
                <w:rFonts w:ascii="Calibri" w:hAnsi="Calibri" w:cs="Calibri"/>
                <w:color w:val="000000"/>
                <w:sz w:val="20"/>
                <w:szCs w:val="20"/>
              </w:rPr>
              <w:t>683</w:t>
            </w:r>
          </w:p>
        </w:tc>
        <w:tc>
          <w:tcPr>
            <w:tcW w:w="4500" w:type="dxa"/>
            <w:tcBorders>
              <w:top w:val="nil"/>
              <w:left w:val="nil"/>
              <w:bottom w:val="nil"/>
              <w:right w:val="single" w:sz="8" w:space="0" w:color="FFFFFF"/>
            </w:tcBorders>
            <w:shd w:val="clear" w:color="000000" w:fill="FFF2CC"/>
            <w:hideMark/>
          </w:tcPr>
          <w:p w14:paraId="349434A9" w14:textId="77777777" w:rsidR="00F302AF" w:rsidRDefault="00F302AF" w:rsidP="00F302AF">
            <w:pPr>
              <w:rPr>
                <w:rFonts w:ascii="Calibri" w:hAnsi="Calibri" w:cs="Calibri"/>
                <w:color w:val="000000"/>
                <w:sz w:val="20"/>
                <w:szCs w:val="20"/>
              </w:rPr>
            </w:pPr>
            <w:r>
              <w:rPr>
                <w:rFonts w:ascii="Calibri" w:hAnsi="Calibri" w:cs="Calibri"/>
                <w:color w:val="000000"/>
                <w:sz w:val="20"/>
                <w:szCs w:val="20"/>
              </w:rPr>
              <w:t>Ostali prihodi</w:t>
            </w:r>
          </w:p>
        </w:tc>
        <w:tc>
          <w:tcPr>
            <w:tcW w:w="2495" w:type="dxa"/>
            <w:tcBorders>
              <w:top w:val="nil"/>
              <w:left w:val="nil"/>
              <w:bottom w:val="nil"/>
              <w:right w:val="single" w:sz="8" w:space="0" w:color="FFFFFF"/>
            </w:tcBorders>
            <w:shd w:val="clear" w:color="000000" w:fill="FFF2CC"/>
            <w:noWrap/>
            <w:hideMark/>
          </w:tcPr>
          <w:p w14:paraId="34B50BC4" w14:textId="77777777" w:rsidR="00F302AF" w:rsidRDefault="00F302AF" w:rsidP="00F302AF">
            <w:pPr>
              <w:jc w:val="right"/>
              <w:rPr>
                <w:rFonts w:ascii="Calibri" w:hAnsi="Calibri" w:cs="Calibri"/>
                <w:color w:val="000000"/>
                <w:sz w:val="20"/>
                <w:szCs w:val="20"/>
              </w:rPr>
            </w:pPr>
            <w:r>
              <w:rPr>
                <w:rFonts w:ascii="Calibri" w:hAnsi="Calibri" w:cs="Calibri"/>
                <w:color w:val="000000"/>
                <w:sz w:val="20"/>
                <w:szCs w:val="20"/>
              </w:rPr>
              <w:t>0,00 €</w:t>
            </w:r>
          </w:p>
        </w:tc>
        <w:tc>
          <w:tcPr>
            <w:tcW w:w="1645" w:type="dxa"/>
            <w:tcBorders>
              <w:top w:val="nil"/>
              <w:left w:val="nil"/>
              <w:bottom w:val="nil"/>
              <w:right w:val="nil"/>
            </w:tcBorders>
            <w:shd w:val="clear" w:color="000000" w:fill="FFF2CC"/>
            <w:noWrap/>
            <w:vAlign w:val="bottom"/>
            <w:hideMark/>
          </w:tcPr>
          <w:p w14:paraId="209125E9" w14:textId="77777777" w:rsidR="00F302AF" w:rsidRDefault="00F302AF" w:rsidP="00F302AF">
            <w:pPr>
              <w:rPr>
                <w:rFonts w:ascii="Calibri" w:hAnsi="Calibri" w:cs="Calibri"/>
                <w:b/>
                <w:bCs/>
                <w:color w:val="000000"/>
              </w:rPr>
            </w:pPr>
            <w:r>
              <w:rPr>
                <w:rFonts w:ascii="Calibri" w:hAnsi="Calibri" w:cs="Calibri"/>
                <w:b/>
                <w:bCs/>
                <w:color w:val="000000"/>
              </w:rPr>
              <w:t> </w:t>
            </w:r>
          </w:p>
        </w:tc>
      </w:tr>
      <w:tr w:rsidR="00F302AF" w14:paraId="62F01C38" w14:textId="77777777" w:rsidTr="00F302AF">
        <w:trPr>
          <w:trHeight w:val="340"/>
        </w:trPr>
        <w:tc>
          <w:tcPr>
            <w:tcW w:w="720" w:type="dxa"/>
            <w:tcBorders>
              <w:top w:val="nil"/>
              <w:left w:val="nil"/>
              <w:bottom w:val="nil"/>
              <w:right w:val="single" w:sz="8" w:space="0" w:color="FFFFFF"/>
            </w:tcBorders>
            <w:shd w:val="clear" w:color="000000" w:fill="FFE699"/>
            <w:noWrap/>
            <w:vAlign w:val="bottom"/>
            <w:hideMark/>
          </w:tcPr>
          <w:p w14:paraId="66DE92F8" w14:textId="77777777" w:rsidR="00F302AF" w:rsidRDefault="00F302AF" w:rsidP="00F302AF">
            <w:pPr>
              <w:rPr>
                <w:rFonts w:ascii="Calibri" w:hAnsi="Calibri" w:cs="Calibri"/>
                <w:color w:val="000000"/>
              </w:rPr>
            </w:pPr>
            <w:r>
              <w:rPr>
                <w:rFonts w:ascii="Calibri" w:hAnsi="Calibri" w:cs="Calibri"/>
                <w:color w:val="000000"/>
              </w:rPr>
              <w:t> </w:t>
            </w:r>
          </w:p>
        </w:tc>
        <w:tc>
          <w:tcPr>
            <w:tcW w:w="4500" w:type="dxa"/>
            <w:tcBorders>
              <w:top w:val="nil"/>
              <w:left w:val="nil"/>
              <w:bottom w:val="nil"/>
              <w:right w:val="single" w:sz="8" w:space="0" w:color="FFFFFF"/>
            </w:tcBorders>
            <w:shd w:val="clear" w:color="000000" w:fill="FFE699"/>
            <w:noWrap/>
            <w:vAlign w:val="center"/>
            <w:hideMark/>
          </w:tcPr>
          <w:p w14:paraId="03B91AD3" w14:textId="77777777" w:rsidR="00F302AF" w:rsidRDefault="00F302AF" w:rsidP="00F302AF">
            <w:pPr>
              <w:rPr>
                <w:rFonts w:ascii="Calibri" w:hAnsi="Calibri" w:cs="Calibri"/>
                <w:b/>
                <w:bCs/>
                <w:color w:val="000000"/>
                <w:sz w:val="20"/>
                <w:szCs w:val="20"/>
              </w:rPr>
            </w:pPr>
            <w:r>
              <w:rPr>
                <w:rFonts w:ascii="Calibri" w:hAnsi="Calibri" w:cs="Calibri"/>
                <w:b/>
                <w:bCs/>
                <w:color w:val="000000"/>
                <w:sz w:val="20"/>
                <w:szCs w:val="20"/>
              </w:rPr>
              <w:t>UKUPNI PRIHODI</w:t>
            </w:r>
          </w:p>
        </w:tc>
        <w:tc>
          <w:tcPr>
            <w:tcW w:w="2495" w:type="dxa"/>
            <w:tcBorders>
              <w:top w:val="nil"/>
              <w:left w:val="nil"/>
              <w:bottom w:val="nil"/>
              <w:right w:val="single" w:sz="8" w:space="0" w:color="FFFFFF"/>
            </w:tcBorders>
            <w:shd w:val="clear" w:color="000000" w:fill="FFE699"/>
            <w:noWrap/>
            <w:vAlign w:val="center"/>
            <w:hideMark/>
          </w:tcPr>
          <w:p w14:paraId="6F46C540" w14:textId="77777777" w:rsidR="00F302AF" w:rsidRDefault="00F302AF" w:rsidP="00F302AF">
            <w:pPr>
              <w:jc w:val="right"/>
              <w:rPr>
                <w:rFonts w:ascii="Calibri" w:hAnsi="Calibri" w:cs="Calibri"/>
                <w:b/>
                <w:bCs/>
                <w:color w:val="000000"/>
                <w:sz w:val="20"/>
                <w:szCs w:val="20"/>
              </w:rPr>
            </w:pPr>
            <w:r>
              <w:rPr>
                <w:rFonts w:ascii="Calibri" w:hAnsi="Calibri" w:cs="Calibri"/>
                <w:b/>
                <w:bCs/>
                <w:color w:val="000000"/>
                <w:sz w:val="20"/>
                <w:szCs w:val="20"/>
              </w:rPr>
              <w:t>915.832,30 €</w:t>
            </w:r>
          </w:p>
        </w:tc>
        <w:tc>
          <w:tcPr>
            <w:tcW w:w="1645" w:type="dxa"/>
            <w:tcBorders>
              <w:top w:val="nil"/>
              <w:left w:val="nil"/>
              <w:bottom w:val="nil"/>
              <w:right w:val="nil"/>
            </w:tcBorders>
            <w:shd w:val="clear" w:color="000000" w:fill="FFE699"/>
            <w:noWrap/>
            <w:vAlign w:val="bottom"/>
            <w:hideMark/>
          </w:tcPr>
          <w:p w14:paraId="090A15B9" w14:textId="77777777" w:rsidR="00F302AF" w:rsidRDefault="00F302AF" w:rsidP="00F302AF">
            <w:pPr>
              <w:rPr>
                <w:rFonts w:ascii="Calibri" w:hAnsi="Calibri" w:cs="Calibri"/>
                <w:color w:val="000000"/>
              </w:rPr>
            </w:pPr>
            <w:r>
              <w:rPr>
                <w:rFonts w:ascii="Calibri" w:hAnsi="Calibri" w:cs="Calibri"/>
                <w:color w:val="000000"/>
              </w:rPr>
              <w:t> </w:t>
            </w:r>
          </w:p>
        </w:tc>
      </w:tr>
    </w:tbl>
    <w:p w14:paraId="3C96FD53" w14:textId="77777777" w:rsidR="00792472" w:rsidRDefault="00792472" w:rsidP="00792472"/>
    <w:p w14:paraId="716B52F1" w14:textId="23977067" w:rsidR="00792472" w:rsidRDefault="00F302AF" w:rsidP="00F302AF">
      <w:pPr>
        <w:jc w:val="center"/>
      </w:pPr>
      <w:r>
        <w:rPr>
          <w:noProof/>
        </w:rPr>
        <w:drawing>
          <wp:inline distT="0" distB="0" distL="0" distR="0" wp14:anchorId="0439D639" wp14:editId="3A4F8505">
            <wp:extent cx="5040000" cy="2664000"/>
            <wp:effectExtent l="0" t="0" r="8255" b="3175"/>
            <wp:docPr id="3" name="Chart 3">
              <a:extLst xmlns:a="http://schemas.openxmlformats.org/drawingml/2006/main">
                <a:ext uri="{FF2B5EF4-FFF2-40B4-BE49-F238E27FC236}">
                  <a16:creationId xmlns:a16="http://schemas.microsoft.com/office/drawing/2014/main" id="{6D6ED1C3-7547-4832-3C11-69211121B0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FAE7E62" w14:textId="77777777" w:rsidR="00F302AF" w:rsidRDefault="00F302AF" w:rsidP="00F302AF">
      <w:pPr>
        <w:jc w:val="center"/>
      </w:pPr>
    </w:p>
    <w:p w14:paraId="3BEBF692" w14:textId="73B155A8" w:rsidR="00792472" w:rsidRPr="00F302AF" w:rsidRDefault="00792472" w:rsidP="00792472">
      <w:pPr>
        <w:pStyle w:val="ListParagraph"/>
        <w:numPr>
          <w:ilvl w:val="0"/>
          <w:numId w:val="2"/>
        </w:numPr>
        <w:ind w:left="284" w:hanging="284"/>
        <w:rPr>
          <w:b/>
          <w:bCs/>
        </w:rPr>
      </w:pPr>
      <w:r w:rsidRPr="00F302AF">
        <w:rPr>
          <w:b/>
          <w:bCs/>
        </w:rPr>
        <w:t>OBRAZLOŽENJE IZVRŠENJA PLANIRANIH  RASHODA</w:t>
      </w:r>
    </w:p>
    <w:p w14:paraId="665F07DE" w14:textId="77777777" w:rsidR="00792472" w:rsidRDefault="00792472" w:rsidP="00D43507">
      <w:pPr>
        <w:jc w:val="both"/>
      </w:pPr>
      <w:r>
        <w:t>U razdoblju od 01.01. do 31.12.2023. godine   JVP Grada Krka ostvarila je ukupne rashode u iznosu od 920.836,71 euro u odnosu na isto razdoblje 2022. kada su ostvareni u iznosu od 802.185,84 eura čime je došlo do povećanja za 14,8 %.</w:t>
      </w:r>
    </w:p>
    <w:p w14:paraId="66BDBEC4" w14:textId="77777777" w:rsidR="00792472" w:rsidRDefault="00792472" w:rsidP="00D43507">
      <w:pPr>
        <w:jc w:val="both"/>
      </w:pPr>
      <w:r w:rsidRPr="00F302AF">
        <w:rPr>
          <w:i/>
          <w:iCs/>
          <w:u w:val="single"/>
        </w:rPr>
        <w:t>Rashodi poslovanja</w:t>
      </w:r>
      <w:r>
        <w:t xml:space="preserve"> ostvareni su u ukupnom iznosu od 885.594,95 eura u odnosu na 2022.g. kada su ostvareni u iznosu od 768.450,88 eura što predstavlja povećanje od 15,2 %.</w:t>
      </w:r>
    </w:p>
    <w:p w14:paraId="184C4D5B" w14:textId="77777777" w:rsidR="00792472" w:rsidRDefault="00792472" w:rsidP="00D43507">
      <w:pPr>
        <w:jc w:val="both"/>
      </w:pPr>
      <w:r w:rsidRPr="00F302AF">
        <w:rPr>
          <w:i/>
          <w:iCs/>
          <w:u w:val="single"/>
        </w:rPr>
        <w:t>Rashodi za zaposlene</w:t>
      </w:r>
      <w:r>
        <w:t xml:space="preserve">  ostvareni su u iznosu od 746.966,35 €  što predstavlja povećanje  za 16,7 % u odnosu na prethodnu godinu  kada su ostvareni u iznosu od 640.327,25 €. </w:t>
      </w:r>
    </w:p>
    <w:p w14:paraId="424061F8" w14:textId="77777777" w:rsidR="00792472" w:rsidRDefault="00792472" w:rsidP="00D43507">
      <w:pPr>
        <w:jc w:val="both"/>
      </w:pPr>
      <w:r>
        <w:t xml:space="preserve">Povećanje rashoda za zaposlene već je ranije više puta objašnjeno.  Odredbe novog Pravilnika o klasifikaciji radnih mjesta profesionalnih vatrogasaca, mjerilima za njihovo utvrđivanje i koeficijentima složenosti poslova (NN 46/23) primijenjene su i kod zapošljavanja četvero sezonskih vatrogasca što se </w:t>
      </w:r>
      <w:r>
        <w:lastRenderedPageBreak/>
        <w:t xml:space="preserve">ranijih godina nije radilo na takav način. Povećanje rashoda izazvalo je i od 01.04.2023. godine zapošljavanje nove djelatnica za administrativno-računovodstvene poslove. </w:t>
      </w:r>
    </w:p>
    <w:p w14:paraId="3AFB2CA1" w14:textId="77777777" w:rsidR="00792472" w:rsidRDefault="00792472" w:rsidP="00D43507">
      <w:pPr>
        <w:jc w:val="both"/>
      </w:pPr>
      <w:r>
        <w:t xml:space="preserve">Ostali rashodi za zaposlene u odnosu na prošlu godinu smanjili su se za 47,6 %. Razlog smanjenja prvenstveno je vezan što je početkom 2022.g. isplaćena  otpremnina jednom našem djelatniku zbog odlaska u mirovinu (u ukupnom bruto iznosu od 17.589,78 €). U 2023. godinu svim djelatnicima izvršena je isplata dara u naravi u iznosu od 132,72 €, regresa za godišnji odmor u iznosu od 332 € po djelatniku, božićnica u iznosu od 331,62 €. Dar za djecu mlađu od 15 godina isplaćen je u ukupnom iznosu od 1.858,22 € (132,73 € po djetetu). Uz sve navedeno isplaćene su 2 jubilarne nagrade (jedna za 10.g. i jedna za 15.g.) u ukupnom iznosu od 717,50 €.  </w:t>
      </w:r>
    </w:p>
    <w:p w14:paraId="03045153" w14:textId="4BCCD216" w:rsidR="00792472" w:rsidRDefault="00792472" w:rsidP="00D43507">
      <w:pPr>
        <w:jc w:val="both"/>
      </w:pPr>
      <w:r w:rsidRPr="00D43507">
        <w:rPr>
          <w:i/>
          <w:iCs/>
          <w:u w:val="single"/>
        </w:rPr>
        <w:t>Materijalni rashodi</w:t>
      </w:r>
      <w:r>
        <w:t xml:space="preserve"> povećali  su se za 8,4 % u odnosu na isto razdoblje prošle godine. U 2023.g. ostvareni su u iznosu od 135.104,16 €, dok su u 2022. godine ostvareni u iznosu od 124.601,63 €. </w:t>
      </w:r>
    </w:p>
    <w:p w14:paraId="28D7C2A0" w14:textId="0BA47275" w:rsidR="00792472" w:rsidRDefault="00792472" w:rsidP="00D43507">
      <w:pPr>
        <w:jc w:val="both"/>
      </w:pPr>
      <w:r w:rsidRPr="00D43507">
        <w:rPr>
          <w:i/>
          <w:iCs/>
          <w:u w:val="single"/>
        </w:rPr>
        <w:t>Naknade troškova zaposlenima</w:t>
      </w:r>
      <w:r>
        <w:t xml:space="preserve"> povećale su se za 17,1 %, a vezane su uz posljedičnu vezu inflacije i porasta cijena goriva, što je povećalo i cijenu prijevoza djelatnika. Također je vezano i uz zapošljavanje novih djelatnika koji žive izvan Grada Krka, kao i zbog plaćanja prijevoza sezonskim vatrogascima. Rashodi za službena putovanja povećali su se za 107,6 % u odnosu na prošlu godinu. Razlog povećanja vezan je zbog sudjelovanja šestero naših djelatnika na natjecanju „1. Croatia Holmatro Rescue Challenge“ koje se održalo 10.06.2023.g. u Karlovcu, šestero djelatnika je sudjelovalo na 13. Međunarodnoj utrci vatrogasaca u Lošinju, te je osmero djelatnika sudjelovalo na natjecanju „Zagreb Firefighter stair challenge“.  Rashodi za stručno usavršavanje djelatnika smanjili su se za 42,90% i ostvareni su u iznosu od 772,84 € u odnosu na prošlu godinu kada su ostvareni u iznosu od 1.353,77 €. Prošle godine svi djelatnici obnovili su svoje znanje i prošli tečaj prve pomoći za što je plaćen račun u iznosu od 875,97 € što je izazvalo tako veliko odstupanje unutar ove skupine. </w:t>
      </w:r>
    </w:p>
    <w:p w14:paraId="78523CBA" w14:textId="77777777" w:rsidR="00792472" w:rsidRDefault="00792472" w:rsidP="00D43507">
      <w:pPr>
        <w:jc w:val="both"/>
      </w:pPr>
      <w:r w:rsidRPr="00D43507">
        <w:rPr>
          <w:i/>
          <w:iCs/>
          <w:u w:val="single"/>
        </w:rPr>
        <w:t>Rashodi za materijal i energiju</w:t>
      </w:r>
      <w:r>
        <w:t xml:space="preserve">  u odnosu na 2022.g. smanjili su se za 7 %. Unutar ove skupine rashodi za uredski materijal i ostale materijalni rashodi povećali su se za 56,6% u odnosu na prošlu godinu. Najviše su se povećali izdaci za materijal za higijenske potrebe i njegu zbog porasta cijena istih. Rashodi za energiju smanjili su se za 21 % u odnosu na prošlu godinu. Rashodi za materijal i dijelove za tekuće investicijsko održavanje  smanjili su se za 5,2 %.  Unutar ove skupine do najvećeg povećanja za 72,2% došlo je kod sitnog inventara i auto guma. Sitan inventar nabavljen je u iznosu od 1.553,70 eura-izvršeno je ulaganje u opremanje teretane i nabavljena je oprema za vježbanje u iznosu od 1.451,98 eura, bežični miš i 22 komada vješalica za odjeću,  dok su auto gume nabavljene u iznosu od 380,00 eura. </w:t>
      </w:r>
    </w:p>
    <w:p w14:paraId="05F0AC27" w14:textId="479EB873" w:rsidR="00792472" w:rsidRDefault="00792472" w:rsidP="00D43507">
      <w:pPr>
        <w:jc w:val="both"/>
      </w:pPr>
      <w:r w:rsidRPr="00D43507">
        <w:rPr>
          <w:i/>
          <w:iCs/>
          <w:u w:val="single"/>
        </w:rPr>
        <w:t>Rashodi za usluge</w:t>
      </w:r>
      <w:r>
        <w:t xml:space="preserve"> ostvareni su u iznosu od 62.017,72 €, dok su u 2022.g. ostvareni u iznosu od 59.074,26 € što je dovelo do povećanja indeksa za 5 %. Usluge telefona, pošte i prijevoza smanjile su se za 1,80 %, dok su se usluge tekućeg investicijskog održavanja smanjile za 9,7 % i ukupno je za njih utrošeno 32.856,42 €. Za usluge tekućeg investicijskog održavanja opreme utrošeno je 8.990,42 € od čega se najveći dio odnosi na usluge atestiranja boca izolacionih aparata u iznosu od 2.293,20 €.  Osim toga više puta izvršena je usluga popravka i servisa kompresora, usluga servisa izolacijskih aparata, usl.  popravka i kalibriranja uređaja X-AM, usl. popravka sustava za grijanje i hlađenje, usluge popravaka i održavanja motornih pila, usl. popravka kvara na dronu i sl.</w:t>
      </w:r>
    </w:p>
    <w:p w14:paraId="7D08FBF4" w14:textId="77777777" w:rsidR="00792472" w:rsidRDefault="00792472" w:rsidP="00D43507">
      <w:pPr>
        <w:jc w:val="both"/>
      </w:pPr>
      <w:r>
        <w:t xml:space="preserve">Za usluge tekućeg i investicijskog održavanja vozila ukupno je utrošeno 23.866,00 € od čega se najveći dio odnosi na redovni servis dugog navalnog vozila kojeg smo dobili na korištenje od MUP-a i obvezni smo svake godine obavljati servis kod ovlaštenog servisera. U 2023.g. za redoviti servis vozila i opreme uk. je plaćeno 9.264,05 €, dok je za servis podvozja vozila utrošeno 1.470,29 €. Na vozilu „KRK 19“ obavljen je godišnji servis nadogradnje, generatora i pumpe u ukupnom iznosu od 6.126,65 €. Na vozilu </w:t>
      </w:r>
      <w:r>
        <w:lastRenderedPageBreak/>
        <w:t xml:space="preserve">„KRK 14“ otklonjen je kvar u iznosu od 1.676,64 €.  Ostatak od 5.328,37 € utrošen je na redovne godišnje servise i popravke kvarova na ostalim vozilima. </w:t>
      </w:r>
    </w:p>
    <w:p w14:paraId="5CB6AAC9" w14:textId="77777777" w:rsidR="00792472" w:rsidRDefault="00792472" w:rsidP="00D43507">
      <w:pPr>
        <w:jc w:val="both"/>
      </w:pPr>
      <w:r>
        <w:t xml:space="preserve">Kod usluga promidžbe i informiranja došlo je do  velikog odstupanja u odnosu na prošlu godinu  zbog angažiranja firme Meditel usluge koja je izradila virtualnu šetnju po postrojbi. Zamisao virtualne šetnje je približavanje našeg rada javnosti, posebice mlađim generacijama koje žele doznati više o nama i našem radu a nisu sigurni smiju li osobno doći. Također, želimo uhvatiti korak sa digitalnim svijetom u kojem živimo te popularizacijom naše djelatnosti privući mladi kadar. Za navedenu uslugu plaćena je faktura u iznosu od 625,00 eura. Osim toga uz pomoć dobivanja sredstva  od Grada Krka u iznosu od 8.100,00 eura nabavljen je promotivni materijal (set u kojem je vatrogasni aparat i deka za gašenje požara) koji se dana 10.12.2023. podijelio građanima radi podizanja svjesnosti o zaštiti od požara. </w:t>
      </w:r>
    </w:p>
    <w:p w14:paraId="66C2D7A1" w14:textId="77777777" w:rsidR="00792472" w:rsidRDefault="00792472" w:rsidP="00D43507">
      <w:pPr>
        <w:jc w:val="both"/>
      </w:pPr>
      <w:r>
        <w:t xml:space="preserve">Unutar ove skupine rashoda došlo je do značajnog smanjenja indeksa na komunalnim uslugama u iznosu od 33,70 %. Prošle godine  smo imali veliku potrošnju vode, zbog velike suše koja je trajala  cijelo  ljeto i koja je uzrokovala veću potrebu  za prijevozom vode. </w:t>
      </w:r>
    </w:p>
    <w:p w14:paraId="6870859F" w14:textId="3EC7AB86" w:rsidR="00792472" w:rsidRDefault="00792472" w:rsidP="00D43507">
      <w:pPr>
        <w:jc w:val="both"/>
      </w:pPr>
      <w:r>
        <w:t>Indeks kod zakupnina i najamnina smanjen je za 23,70%, dok je indeks za zdravstvene i veterinarske usluge značajno je smanjen  u odnosu  na prošlu godinu za 69,10%. Prošle godine svi djelatnici obavili su sistematske preglede koji se obavljaju svake četiri godine i uz to su i svi operativni djelatnici obavili redovite liječničke preglede na koje po zakonu moraju ići svake 2 godine. Ove godine su troje djelatnika obavili preglede.</w:t>
      </w:r>
    </w:p>
    <w:p w14:paraId="39406E01" w14:textId="0D0C164A" w:rsidR="00792472" w:rsidRDefault="00792472" w:rsidP="00D43507">
      <w:pPr>
        <w:jc w:val="both"/>
      </w:pPr>
      <w:r w:rsidRPr="00D43507">
        <w:rPr>
          <w:i/>
          <w:iCs/>
          <w:u w:val="single"/>
        </w:rPr>
        <w:t>Ostali nespomenuti rashodi poslovanja</w:t>
      </w:r>
      <w:r>
        <w:t xml:space="preserve"> su se tijekom godine smanjili za 4,5 %.  Premije osiguranja povećale su se za 2,5 %, dok se trošak reprezentacije  smanjio za 12,90 %.  Kod pristojbi i normi indeks je povećan  za 0,1%, dok je za ostale nespomenute prihode smanjen za 99,5%. Razlog tako velikog odstupanja vezan je uz  to što smo prošle godine  morali platiti naknadu za ovlaštenje vatrogasnog servisa aparata Gloria, kako bi sami mogli obavljati servise, dok ove godine do sada nismo imali ovu vrstu rashoda.</w:t>
      </w:r>
    </w:p>
    <w:p w14:paraId="7016430A" w14:textId="23BFC9DC" w:rsidR="00792472" w:rsidRDefault="00792472" w:rsidP="00D43507">
      <w:pPr>
        <w:jc w:val="both"/>
      </w:pPr>
      <w:r w:rsidRPr="00D43507">
        <w:rPr>
          <w:i/>
          <w:iCs/>
          <w:u w:val="single"/>
        </w:rPr>
        <w:t>Financijski rashodi</w:t>
      </w:r>
      <w:r>
        <w:t xml:space="preserve"> su u 2023.g.  ostvareni u iznosu od 644,44 €, dok su u 2022. g.  ostvareni u iznosu od 643,72 € što predstavlja  povećanje za 0,1 %. </w:t>
      </w:r>
    </w:p>
    <w:p w14:paraId="02037B19" w14:textId="0FAFC083" w:rsidR="00792472" w:rsidRPr="00D43507" w:rsidRDefault="00792472" w:rsidP="00D43507">
      <w:pPr>
        <w:jc w:val="both"/>
        <w:rPr>
          <w:i/>
          <w:iCs/>
          <w:u w:val="single"/>
        </w:rPr>
      </w:pPr>
      <w:r w:rsidRPr="00D43507">
        <w:rPr>
          <w:i/>
          <w:iCs/>
          <w:u w:val="single"/>
        </w:rPr>
        <w:t xml:space="preserve">Ostale naknade građanima i kućanstvima iz proračuna </w:t>
      </w:r>
    </w:p>
    <w:p w14:paraId="4F18FF86" w14:textId="64790EEB" w:rsidR="00792472" w:rsidRDefault="00792472" w:rsidP="00D43507">
      <w:pPr>
        <w:jc w:val="both"/>
      </w:pPr>
      <w:r>
        <w:t>Zbog manjka obrazovanog kadra  pretprošle godine zapovjednik JVP Grada Krka na oglasnu ploču stavio je obavijest da se jave kandidati koji su spremni upisati fakultet i nastaviti sa školovanjem. Dvojica kandidata predala su svoje molbe, koje su prihvaćene i upisali su se na I godinu Specijalističkog preddiplomskog stručnog studija sigurnosti u Visokoj školi za sigurnost s pravom javnosti u Zagrebu, koji traje 3 godine odnosno 6 semestara. JVP Grada Krka sklopila je ugovore o financiranju u kojima su definirani uvjeti o međusobnim pravima i obvezama. Za prvu godinu studija ukupno je uplaćeno 5.731,51 €. U 9 mjesecu 2022.g. jedan se od djelatnika odlučio odseliti sa otoka Krka i podnio je zahtjev za sporazumni otkaz Ugovora o radu. Rješenjem o otkazu definirano je da isti mora vratiti JVP Grada Krka iznos koji smo platili za prvu godinu njegovog školovanja (više objašnjeno pod bilješkom uz poziciju 65). U 2022.g. platili smo školarinu za jednog djelatnika u iznosu od 2.878,28 €, dok smo u 2023.g. platili zadnju ratu definiranu ugovorom u iznosu od 2.880,00 €.</w:t>
      </w:r>
    </w:p>
    <w:p w14:paraId="0D0FA18F" w14:textId="57ED1683" w:rsidR="00792472" w:rsidRDefault="00792472" w:rsidP="00D43507">
      <w:pPr>
        <w:jc w:val="both"/>
      </w:pPr>
      <w:r w:rsidRPr="00D43507">
        <w:rPr>
          <w:i/>
          <w:iCs/>
          <w:u w:val="single"/>
        </w:rPr>
        <w:t>Rashodi za nabavu nefinancijske imovine</w:t>
      </w:r>
      <w:r>
        <w:t xml:space="preserve"> ostvareni su u iznosu od 35.241,76 €, dok su u 2022. godini ostvareni u iznosu od 33.734,96 € kn što predstavlja povećanje za 4,5%. </w:t>
      </w:r>
    </w:p>
    <w:p w14:paraId="2BB59150" w14:textId="77777777" w:rsidR="00792472" w:rsidRDefault="00792472" w:rsidP="00D43507">
      <w:pPr>
        <w:jc w:val="both"/>
      </w:pPr>
      <w:r>
        <w:t xml:space="preserve">Tijekom 2023.g. JVP Grada Krka izvršila je 3. fazu projekta zatvaranje garaže odnosno nadstrešnice za smještaj i zaštitu vozila u ukupnom iznosu od 8.000,00 € (nabavljena su dvoja garažna vrata sa motorom ), te je kupljena jedna licenca za Program e-isplatni list za plaće u iznosu od 210,75 €. Također je zbog </w:t>
      </w:r>
      <w:r>
        <w:lastRenderedPageBreak/>
        <w:t>zapošljavanja nove djelatnice i uređenja uredskog prostora kupljen namještaj u iznosu od 1.254,88 € (isti je naručen  i plaćen predujmom krajem 2022.g., ali je isporučen i montiran u 2023.), te je kupljen jedan skener u iznosu od 100,00 €.</w:t>
      </w:r>
    </w:p>
    <w:p w14:paraId="6F9483E6" w14:textId="77777777" w:rsidR="00792472" w:rsidRDefault="00792472" w:rsidP="00D43507">
      <w:pPr>
        <w:jc w:val="both"/>
      </w:pPr>
      <w:r>
        <w:t>Oprema za održavanje i zaštitu nabavljena je u ukupnom iznosu od 23.783,30 €. Od  vatrogasne opreme nabavljen je dimnjačarski alat Donges  u iznosu od 1.987,50 €, te utikač za simuliranje punjenja električnog vozila u iznosu od 1.032,25 €. Za sve operativne djelatnike nabavljene su čizme Jolly 9300/GA Rescue u ukupnom iznosu od 6.149 € , radni opasači sa karabinerom u iznosu od 2.147,63 €, te zaštitni interventni kombinezoni  „Wald Adas Trimm“ u iznosu od 8.347,50 € .</w:t>
      </w:r>
    </w:p>
    <w:p w14:paraId="2F950697" w14:textId="77777777" w:rsidR="00792472" w:rsidRDefault="00792472" w:rsidP="00D43507">
      <w:pPr>
        <w:jc w:val="both"/>
      </w:pPr>
      <w:r>
        <w:t>Za opremanje sezonskih vatrogasaca nabavljene su jedne čizme Jolly, te radni opasač sa karabinerom u iznosu od 93,38 €.  Također je izvršena i veća nabavka usisnih spojnica fi 25 mm MS (60 kom) u iznosu od 1.406,03 €, ručnih svjetiljki i lampi u iznosu od 2.496,26 €.</w:t>
      </w:r>
    </w:p>
    <w:p w14:paraId="645EE1F4" w14:textId="77777777" w:rsidR="00D43507" w:rsidRDefault="00792472" w:rsidP="00D43507">
      <w:pPr>
        <w:jc w:val="both"/>
      </w:pPr>
      <w:r>
        <w:t xml:space="preserve">Od instrumenata i uređaja nabavljene su dvije vodene pumpe u ukupnom iznosu od 692.83 €, recipročna akumulatorska pila Milwakuee u iznosu od 612,50 €, te akumulatorska kutna brusilica u iznosu od 587,50 €. </w:t>
      </w:r>
    </w:p>
    <w:p w14:paraId="0F526D46" w14:textId="3A2624CF" w:rsidR="00792472" w:rsidRDefault="00792472" w:rsidP="00D43507">
      <w:pPr>
        <w:spacing w:after="0"/>
        <w:jc w:val="center"/>
        <w:rPr>
          <w:b/>
          <w:bCs/>
        </w:rPr>
      </w:pPr>
      <w:r w:rsidRPr="00D43507">
        <w:rPr>
          <w:b/>
          <w:bCs/>
        </w:rPr>
        <w:t>Ukupno ostvarenje rashoda</w:t>
      </w:r>
    </w:p>
    <w:p w14:paraId="4B37DB34" w14:textId="77777777" w:rsidR="00A64FE5" w:rsidRDefault="00A64FE5" w:rsidP="00D43507">
      <w:pPr>
        <w:spacing w:after="0"/>
        <w:jc w:val="center"/>
        <w:rPr>
          <w:b/>
          <w:bCs/>
        </w:rPr>
      </w:pPr>
    </w:p>
    <w:tbl>
      <w:tblPr>
        <w:tblW w:w="9350" w:type="dxa"/>
        <w:tblLook w:val="04A0" w:firstRow="1" w:lastRow="0" w:firstColumn="1" w:lastColumn="0" w:noHBand="0" w:noVBand="1"/>
      </w:tblPr>
      <w:tblGrid>
        <w:gridCol w:w="760"/>
        <w:gridCol w:w="4271"/>
        <w:gridCol w:w="2608"/>
        <w:gridCol w:w="1719"/>
      </w:tblGrid>
      <w:tr w:rsidR="00CB2DEA" w:rsidRPr="00CB2DEA" w14:paraId="65F81490" w14:textId="77777777" w:rsidTr="00CB2DEA">
        <w:trPr>
          <w:trHeight w:val="315"/>
        </w:trPr>
        <w:tc>
          <w:tcPr>
            <w:tcW w:w="752" w:type="dxa"/>
            <w:tcBorders>
              <w:top w:val="nil"/>
              <w:left w:val="single" w:sz="8" w:space="0" w:color="FFFFFF"/>
              <w:bottom w:val="single" w:sz="12" w:space="0" w:color="FFFFFF"/>
              <w:right w:val="single" w:sz="8" w:space="0" w:color="FFFFFF"/>
            </w:tcBorders>
            <w:shd w:val="clear" w:color="000000" w:fill="ED7D31"/>
            <w:noWrap/>
            <w:vAlign w:val="center"/>
            <w:hideMark/>
          </w:tcPr>
          <w:p w14:paraId="2B535D19" w14:textId="77777777" w:rsidR="00CB2DEA" w:rsidRPr="00CB2DEA" w:rsidRDefault="00CB2DEA" w:rsidP="00CB2DEA">
            <w:pPr>
              <w:spacing w:after="0"/>
              <w:jc w:val="center"/>
              <w:rPr>
                <w:b/>
                <w:bCs/>
              </w:rPr>
            </w:pPr>
            <w:r w:rsidRPr="00CB2DEA">
              <w:rPr>
                <w:b/>
                <w:bCs/>
              </w:rPr>
              <w:t>Konto</w:t>
            </w:r>
          </w:p>
        </w:tc>
        <w:tc>
          <w:tcPr>
            <w:tcW w:w="4271" w:type="dxa"/>
            <w:tcBorders>
              <w:top w:val="nil"/>
              <w:left w:val="nil"/>
              <w:bottom w:val="single" w:sz="12" w:space="0" w:color="FFFFFF"/>
              <w:right w:val="single" w:sz="8" w:space="0" w:color="FFFFFF"/>
            </w:tcBorders>
            <w:shd w:val="clear" w:color="000000" w:fill="ED7D31"/>
            <w:noWrap/>
            <w:vAlign w:val="center"/>
            <w:hideMark/>
          </w:tcPr>
          <w:p w14:paraId="382755DC" w14:textId="77777777" w:rsidR="00CB2DEA" w:rsidRPr="00CB2DEA" w:rsidRDefault="00CB2DEA" w:rsidP="00CB2DEA">
            <w:pPr>
              <w:spacing w:after="0"/>
              <w:jc w:val="center"/>
              <w:rPr>
                <w:b/>
                <w:bCs/>
              </w:rPr>
            </w:pPr>
            <w:r w:rsidRPr="00CB2DEA">
              <w:rPr>
                <w:b/>
                <w:bCs/>
              </w:rPr>
              <w:t>Rashodi</w:t>
            </w:r>
          </w:p>
        </w:tc>
        <w:tc>
          <w:tcPr>
            <w:tcW w:w="2608" w:type="dxa"/>
            <w:tcBorders>
              <w:top w:val="nil"/>
              <w:left w:val="nil"/>
              <w:bottom w:val="single" w:sz="12" w:space="0" w:color="FFFFFF"/>
              <w:right w:val="single" w:sz="8" w:space="0" w:color="FFFFFF"/>
            </w:tcBorders>
            <w:shd w:val="clear" w:color="000000" w:fill="ED7D31"/>
            <w:noWrap/>
            <w:vAlign w:val="center"/>
            <w:hideMark/>
          </w:tcPr>
          <w:p w14:paraId="5815A13A" w14:textId="77777777" w:rsidR="00CB2DEA" w:rsidRPr="00CB2DEA" w:rsidRDefault="00CB2DEA" w:rsidP="00CB2DEA">
            <w:pPr>
              <w:spacing w:after="0"/>
              <w:jc w:val="center"/>
              <w:rPr>
                <w:b/>
                <w:bCs/>
              </w:rPr>
            </w:pPr>
            <w:r w:rsidRPr="00CB2DEA">
              <w:rPr>
                <w:b/>
                <w:bCs/>
              </w:rPr>
              <w:t>Iznos</w:t>
            </w:r>
          </w:p>
        </w:tc>
        <w:tc>
          <w:tcPr>
            <w:tcW w:w="1719" w:type="dxa"/>
            <w:tcBorders>
              <w:top w:val="nil"/>
              <w:left w:val="nil"/>
              <w:bottom w:val="single" w:sz="12" w:space="0" w:color="FFFFFF"/>
              <w:right w:val="nil"/>
            </w:tcBorders>
            <w:shd w:val="clear" w:color="000000" w:fill="ED7D31"/>
            <w:noWrap/>
            <w:vAlign w:val="center"/>
            <w:hideMark/>
          </w:tcPr>
          <w:p w14:paraId="50D712C6" w14:textId="77777777" w:rsidR="00CB2DEA" w:rsidRPr="00CB2DEA" w:rsidRDefault="00CB2DEA" w:rsidP="00CB2DEA">
            <w:pPr>
              <w:spacing w:after="0"/>
              <w:jc w:val="center"/>
              <w:rPr>
                <w:b/>
                <w:bCs/>
              </w:rPr>
            </w:pPr>
            <w:r w:rsidRPr="00CB2DEA">
              <w:rPr>
                <w:b/>
                <w:bCs/>
              </w:rPr>
              <w:t>Udio</w:t>
            </w:r>
          </w:p>
        </w:tc>
      </w:tr>
      <w:tr w:rsidR="00CB2DEA" w:rsidRPr="00CB2DEA" w14:paraId="34545E4A" w14:textId="77777777" w:rsidTr="00CB2DEA">
        <w:trPr>
          <w:trHeight w:val="330"/>
        </w:trPr>
        <w:tc>
          <w:tcPr>
            <w:tcW w:w="752" w:type="dxa"/>
            <w:tcBorders>
              <w:top w:val="nil"/>
              <w:left w:val="single" w:sz="8" w:space="0" w:color="FFFFFF"/>
              <w:bottom w:val="single" w:sz="8" w:space="0" w:color="FFFFFF"/>
              <w:right w:val="single" w:sz="8" w:space="0" w:color="FFFFFF"/>
            </w:tcBorders>
            <w:shd w:val="clear" w:color="000000" w:fill="F8CBAD"/>
            <w:noWrap/>
            <w:vAlign w:val="center"/>
            <w:hideMark/>
          </w:tcPr>
          <w:p w14:paraId="7939C1F5" w14:textId="77777777" w:rsidR="00CB2DEA" w:rsidRPr="00CB2DEA" w:rsidRDefault="00CB2DEA" w:rsidP="00CB2DEA">
            <w:pPr>
              <w:spacing w:after="0"/>
              <w:jc w:val="center"/>
              <w:rPr>
                <w:b/>
                <w:bCs/>
              </w:rPr>
            </w:pPr>
            <w:r w:rsidRPr="00CB2DEA">
              <w:rPr>
                <w:b/>
                <w:bCs/>
              </w:rPr>
              <w:t>3</w:t>
            </w:r>
          </w:p>
        </w:tc>
        <w:tc>
          <w:tcPr>
            <w:tcW w:w="4271" w:type="dxa"/>
            <w:tcBorders>
              <w:top w:val="nil"/>
              <w:left w:val="nil"/>
              <w:bottom w:val="single" w:sz="8" w:space="0" w:color="FFFFFF"/>
              <w:right w:val="single" w:sz="8" w:space="0" w:color="FFFFFF"/>
            </w:tcBorders>
            <w:shd w:val="clear" w:color="000000" w:fill="F8CBAD"/>
            <w:noWrap/>
            <w:vAlign w:val="center"/>
            <w:hideMark/>
          </w:tcPr>
          <w:p w14:paraId="37D2D88E" w14:textId="77777777" w:rsidR="00CB2DEA" w:rsidRPr="00CB2DEA" w:rsidRDefault="00CB2DEA" w:rsidP="00CB2DEA">
            <w:pPr>
              <w:spacing w:after="0"/>
              <w:jc w:val="center"/>
              <w:rPr>
                <w:b/>
                <w:bCs/>
              </w:rPr>
            </w:pPr>
            <w:r w:rsidRPr="00CB2DEA">
              <w:rPr>
                <w:b/>
                <w:bCs/>
              </w:rPr>
              <w:t>RASHODI POSLOVANJA</w:t>
            </w:r>
          </w:p>
        </w:tc>
        <w:tc>
          <w:tcPr>
            <w:tcW w:w="2608" w:type="dxa"/>
            <w:tcBorders>
              <w:top w:val="nil"/>
              <w:left w:val="nil"/>
              <w:bottom w:val="single" w:sz="8" w:space="0" w:color="FFFFFF"/>
              <w:right w:val="single" w:sz="8" w:space="0" w:color="FFFFFF"/>
            </w:tcBorders>
            <w:shd w:val="clear" w:color="000000" w:fill="F8CBAD"/>
            <w:noWrap/>
            <w:vAlign w:val="center"/>
            <w:hideMark/>
          </w:tcPr>
          <w:p w14:paraId="2ECA7F80" w14:textId="77777777" w:rsidR="00CB2DEA" w:rsidRPr="00CB2DEA" w:rsidRDefault="00CB2DEA" w:rsidP="00CB2DEA">
            <w:pPr>
              <w:spacing w:after="0"/>
              <w:jc w:val="center"/>
              <w:rPr>
                <w:b/>
                <w:bCs/>
              </w:rPr>
            </w:pPr>
            <w:r w:rsidRPr="00CB2DEA">
              <w:rPr>
                <w:b/>
                <w:bCs/>
              </w:rPr>
              <w:t>885.594,95 €</w:t>
            </w:r>
          </w:p>
        </w:tc>
        <w:tc>
          <w:tcPr>
            <w:tcW w:w="1719" w:type="dxa"/>
            <w:tcBorders>
              <w:top w:val="nil"/>
              <w:left w:val="nil"/>
              <w:bottom w:val="single" w:sz="8" w:space="0" w:color="FFFFFF"/>
              <w:right w:val="nil"/>
            </w:tcBorders>
            <w:shd w:val="clear" w:color="000000" w:fill="F8CBAD"/>
            <w:noWrap/>
            <w:vAlign w:val="bottom"/>
            <w:hideMark/>
          </w:tcPr>
          <w:p w14:paraId="298A2905" w14:textId="77777777" w:rsidR="00CB2DEA" w:rsidRPr="00CB2DEA" w:rsidRDefault="00CB2DEA" w:rsidP="00CB2DEA">
            <w:pPr>
              <w:spacing w:after="0"/>
              <w:jc w:val="center"/>
              <w:rPr>
                <w:b/>
                <w:bCs/>
              </w:rPr>
            </w:pPr>
            <w:r w:rsidRPr="00CB2DEA">
              <w:rPr>
                <w:b/>
                <w:bCs/>
              </w:rPr>
              <w:t>96,17%</w:t>
            </w:r>
          </w:p>
        </w:tc>
      </w:tr>
      <w:tr w:rsidR="00CB2DEA" w:rsidRPr="00CB2DEA" w14:paraId="6E37AEF3" w14:textId="77777777" w:rsidTr="00CB2DEA">
        <w:trPr>
          <w:trHeight w:val="315"/>
        </w:trPr>
        <w:tc>
          <w:tcPr>
            <w:tcW w:w="752" w:type="dxa"/>
            <w:tcBorders>
              <w:top w:val="nil"/>
              <w:left w:val="single" w:sz="8" w:space="0" w:color="FFFFFF"/>
              <w:bottom w:val="single" w:sz="8" w:space="0" w:color="FFFFFF"/>
              <w:right w:val="single" w:sz="8" w:space="0" w:color="FFFFFF"/>
            </w:tcBorders>
            <w:shd w:val="clear" w:color="000000" w:fill="FCE4D6"/>
            <w:noWrap/>
            <w:vAlign w:val="center"/>
            <w:hideMark/>
          </w:tcPr>
          <w:p w14:paraId="23B1FC93" w14:textId="77777777" w:rsidR="00CB2DEA" w:rsidRPr="00CB2DEA" w:rsidRDefault="00CB2DEA" w:rsidP="00CB2DEA">
            <w:pPr>
              <w:spacing w:after="0"/>
              <w:jc w:val="center"/>
              <w:rPr>
                <w:b/>
                <w:bCs/>
              </w:rPr>
            </w:pPr>
            <w:r w:rsidRPr="00CB2DEA">
              <w:rPr>
                <w:b/>
                <w:bCs/>
              </w:rPr>
              <w:t>31</w:t>
            </w:r>
          </w:p>
        </w:tc>
        <w:tc>
          <w:tcPr>
            <w:tcW w:w="4271" w:type="dxa"/>
            <w:tcBorders>
              <w:top w:val="nil"/>
              <w:left w:val="nil"/>
              <w:bottom w:val="single" w:sz="8" w:space="0" w:color="FFFFFF"/>
              <w:right w:val="single" w:sz="8" w:space="0" w:color="FFFFFF"/>
            </w:tcBorders>
            <w:shd w:val="clear" w:color="000000" w:fill="FCE4D6"/>
            <w:noWrap/>
            <w:vAlign w:val="center"/>
            <w:hideMark/>
          </w:tcPr>
          <w:p w14:paraId="7E335603" w14:textId="77777777" w:rsidR="00CB2DEA" w:rsidRPr="00CB2DEA" w:rsidRDefault="00CB2DEA" w:rsidP="00CB2DEA">
            <w:pPr>
              <w:spacing w:after="0"/>
              <w:jc w:val="center"/>
              <w:rPr>
                <w:b/>
                <w:bCs/>
              </w:rPr>
            </w:pPr>
            <w:r w:rsidRPr="00CB2DEA">
              <w:rPr>
                <w:b/>
                <w:bCs/>
              </w:rPr>
              <w:t>Rashodi za zaposlene:</w:t>
            </w:r>
          </w:p>
        </w:tc>
        <w:tc>
          <w:tcPr>
            <w:tcW w:w="2608" w:type="dxa"/>
            <w:tcBorders>
              <w:top w:val="nil"/>
              <w:left w:val="nil"/>
              <w:bottom w:val="single" w:sz="8" w:space="0" w:color="FFFFFF"/>
              <w:right w:val="single" w:sz="8" w:space="0" w:color="FFFFFF"/>
            </w:tcBorders>
            <w:shd w:val="clear" w:color="000000" w:fill="FCE4D6"/>
            <w:noWrap/>
            <w:vAlign w:val="center"/>
            <w:hideMark/>
          </w:tcPr>
          <w:p w14:paraId="12779D4A" w14:textId="77777777" w:rsidR="00CB2DEA" w:rsidRPr="00CB2DEA" w:rsidRDefault="00CB2DEA" w:rsidP="00CB2DEA">
            <w:pPr>
              <w:spacing w:after="0"/>
              <w:jc w:val="center"/>
              <w:rPr>
                <w:b/>
                <w:bCs/>
              </w:rPr>
            </w:pPr>
            <w:r w:rsidRPr="00CB2DEA">
              <w:rPr>
                <w:b/>
                <w:bCs/>
              </w:rPr>
              <w:t>746.966,35 €</w:t>
            </w:r>
          </w:p>
        </w:tc>
        <w:tc>
          <w:tcPr>
            <w:tcW w:w="1719" w:type="dxa"/>
            <w:tcBorders>
              <w:top w:val="nil"/>
              <w:left w:val="nil"/>
              <w:bottom w:val="single" w:sz="8" w:space="0" w:color="FFFFFF"/>
              <w:right w:val="nil"/>
            </w:tcBorders>
            <w:shd w:val="clear" w:color="000000" w:fill="FCE4D6"/>
            <w:noWrap/>
            <w:vAlign w:val="center"/>
            <w:hideMark/>
          </w:tcPr>
          <w:p w14:paraId="11D9DE73" w14:textId="77777777" w:rsidR="00CB2DEA" w:rsidRPr="00CB2DEA" w:rsidRDefault="00CB2DEA" w:rsidP="00CB2DEA">
            <w:pPr>
              <w:spacing w:after="0"/>
              <w:jc w:val="center"/>
              <w:rPr>
                <w:b/>
                <w:bCs/>
              </w:rPr>
            </w:pPr>
            <w:r w:rsidRPr="00CB2DEA">
              <w:rPr>
                <w:b/>
                <w:bCs/>
              </w:rPr>
              <w:t>84,35%</w:t>
            </w:r>
          </w:p>
        </w:tc>
      </w:tr>
      <w:tr w:rsidR="00CB2DEA" w:rsidRPr="00CB2DEA" w14:paraId="2FEAD34B" w14:textId="77777777" w:rsidTr="00CB2DEA">
        <w:trPr>
          <w:trHeight w:val="315"/>
        </w:trPr>
        <w:tc>
          <w:tcPr>
            <w:tcW w:w="752" w:type="dxa"/>
            <w:tcBorders>
              <w:top w:val="nil"/>
              <w:left w:val="single" w:sz="8" w:space="0" w:color="FFFFFF"/>
              <w:bottom w:val="single" w:sz="8" w:space="0" w:color="FFFFFF"/>
              <w:right w:val="single" w:sz="8" w:space="0" w:color="FFFFFF"/>
            </w:tcBorders>
            <w:shd w:val="clear" w:color="000000" w:fill="F8CBAD"/>
            <w:noWrap/>
            <w:vAlign w:val="center"/>
            <w:hideMark/>
          </w:tcPr>
          <w:p w14:paraId="693FA3ED" w14:textId="77777777" w:rsidR="00CB2DEA" w:rsidRPr="00CB2DEA" w:rsidRDefault="00CB2DEA" w:rsidP="00CB2DEA">
            <w:pPr>
              <w:spacing w:after="0"/>
              <w:jc w:val="center"/>
              <w:rPr>
                <w:b/>
                <w:bCs/>
              </w:rPr>
            </w:pPr>
            <w:r w:rsidRPr="00CB2DEA">
              <w:rPr>
                <w:b/>
                <w:bCs/>
              </w:rPr>
              <w:t>311</w:t>
            </w:r>
          </w:p>
        </w:tc>
        <w:tc>
          <w:tcPr>
            <w:tcW w:w="4271" w:type="dxa"/>
            <w:tcBorders>
              <w:top w:val="nil"/>
              <w:left w:val="nil"/>
              <w:bottom w:val="single" w:sz="8" w:space="0" w:color="FFFFFF"/>
              <w:right w:val="single" w:sz="8" w:space="0" w:color="FFFFFF"/>
            </w:tcBorders>
            <w:shd w:val="clear" w:color="000000" w:fill="F8CBAD"/>
            <w:noWrap/>
            <w:vAlign w:val="center"/>
            <w:hideMark/>
          </w:tcPr>
          <w:p w14:paraId="49809A7B" w14:textId="77777777" w:rsidR="00CB2DEA" w:rsidRPr="00CB2DEA" w:rsidRDefault="00CB2DEA" w:rsidP="00CB2DEA">
            <w:pPr>
              <w:spacing w:after="0"/>
              <w:jc w:val="center"/>
              <w:rPr>
                <w:b/>
                <w:bCs/>
              </w:rPr>
            </w:pPr>
            <w:r w:rsidRPr="00CB2DEA">
              <w:rPr>
                <w:b/>
                <w:bCs/>
              </w:rPr>
              <w:t>· Plaće</w:t>
            </w:r>
          </w:p>
        </w:tc>
        <w:tc>
          <w:tcPr>
            <w:tcW w:w="2608" w:type="dxa"/>
            <w:tcBorders>
              <w:top w:val="nil"/>
              <w:left w:val="nil"/>
              <w:bottom w:val="single" w:sz="8" w:space="0" w:color="FFFFFF"/>
              <w:right w:val="single" w:sz="8" w:space="0" w:color="FFFFFF"/>
            </w:tcBorders>
            <w:shd w:val="clear" w:color="000000" w:fill="F8CBAD"/>
            <w:noWrap/>
            <w:vAlign w:val="center"/>
            <w:hideMark/>
          </w:tcPr>
          <w:p w14:paraId="65B3434A" w14:textId="77777777" w:rsidR="00CB2DEA" w:rsidRPr="00CB2DEA" w:rsidRDefault="00CB2DEA" w:rsidP="00CB2DEA">
            <w:pPr>
              <w:spacing w:after="0"/>
              <w:jc w:val="center"/>
              <w:rPr>
                <w:b/>
                <w:bCs/>
              </w:rPr>
            </w:pPr>
            <w:r w:rsidRPr="00CB2DEA">
              <w:rPr>
                <w:b/>
                <w:bCs/>
              </w:rPr>
              <w:t>602.108,98 €</w:t>
            </w:r>
          </w:p>
        </w:tc>
        <w:tc>
          <w:tcPr>
            <w:tcW w:w="1719" w:type="dxa"/>
            <w:tcBorders>
              <w:top w:val="nil"/>
              <w:left w:val="nil"/>
              <w:bottom w:val="single" w:sz="8" w:space="0" w:color="FFFFFF"/>
              <w:right w:val="nil"/>
            </w:tcBorders>
            <w:shd w:val="clear" w:color="000000" w:fill="F8CBAD"/>
            <w:noWrap/>
            <w:vAlign w:val="center"/>
            <w:hideMark/>
          </w:tcPr>
          <w:p w14:paraId="29294939" w14:textId="77777777" w:rsidR="00CB2DEA" w:rsidRPr="00CB2DEA" w:rsidRDefault="00CB2DEA" w:rsidP="00CB2DEA">
            <w:pPr>
              <w:spacing w:after="0"/>
              <w:jc w:val="center"/>
              <w:rPr>
                <w:b/>
                <w:bCs/>
              </w:rPr>
            </w:pPr>
            <w:r w:rsidRPr="00CB2DEA">
              <w:rPr>
                <w:b/>
                <w:bCs/>
              </w:rPr>
              <w:t>80,61%</w:t>
            </w:r>
          </w:p>
        </w:tc>
      </w:tr>
      <w:tr w:rsidR="00CB2DEA" w:rsidRPr="00CB2DEA" w14:paraId="07E03C47" w14:textId="77777777" w:rsidTr="00CB2DEA">
        <w:trPr>
          <w:trHeight w:val="315"/>
        </w:trPr>
        <w:tc>
          <w:tcPr>
            <w:tcW w:w="752" w:type="dxa"/>
            <w:tcBorders>
              <w:top w:val="nil"/>
              <w:left w:val="single" w:sz="8" w:space="0" w:color="FFFFFF"/>
              <w:bottom w:val="single" w:sz="8" w:space="0" w:color="FFFFFF"/>
              <w:right w:val="single" w:sz="8" w:space="0" w:color="FFFFFF"/>
            </w:tcBorders>
            <w:shd w:val="clear" w:color="000000" w:fill="FCE4D6"/>
            <w:noWrap/>
            <w:vAlign w:val="center"/>
            <w:hideMark/>
          </w:tcPr>
          <w:p w14:paraId="5EB8B7F0" w14:textId="77777777" w:rsidR="00CB2DEA" w:rsidRPr="00CB2DEA" w:rsidRDefault="00CB2DEA" w:rsidP="00CB2DEA">
            <w:pPr>
              <w:spacing w:after="0"/>
              <w:jc w:val="center"/>
              <w:rPr>
                <w:b/>
                <w:bCs/>
              </w:rPr>
            </w:pPr>
            <w:r w:rsidRPr="00CB2DEA">
              <w:rPr>
                <w:b/>
                <w:bCs/>
              </w:rPr>
              <w:t>312</w:t>
            </w:r>
          </w:p>
        </w:tc>
        <w:tc>
          <w:tcPr>
            <w:tcW w:w="4271" w:type="dxa"/>
            <w:tcBorders>
              <w:top w:val="nil"/>
              <w:left w:val="nil"/>
              <w:bottom w:val="single" w:sz="8" w:space="0" w:color="FFFFFF"/>
              <w:right w:val="single" w:sz="8" w:space="0" w:color="FFFFFF"/>
            </w:tcBorders>
            <w:shd w:val="clear" w:color="000000" w:fill="FCE4D6"/>
            <w:noWrap/>
            <w:vAlign w:val="center"/>
            <w:hideMark/>
          </w:tcPr>
          <w:p w14:paraId="6F756E44" w14:textId="77777777" w:rsidR="00CB2DEA" w:rsidRPr="00CB2DEA" w:rsidRDefault="00CB2DEA" w:rsidP="00CB2DEA">
            <w:pPr>
              <w:spacing w:after="0"/>
              <w:jc w:val="center"/>
              <w:rPr>
                <w:b/>
                <w:bCs/>
              </w:rPr>
            </w:pPr>
            <w:r w:rsidRPr="00CB2DEA">
              <w:rPr>
                <w:b/>
                <w:bCs/>
              </w:rPr>
              <w:t>· Ostali rashodi za zaposlene</w:t>
            </w:r>
          </w:p>
        </w:tc>
        <w:tc>
          <w:tcPr>
            <w:tcW w:w="2608" w:type="dxa"/>
            <w:tcBorders>
              <w:top w:val="nil"/>
              <w:left w:val="nil"/>
              <w:bottom w:val="single" w:sz="8" w:space="0" w:color="FFFFFF"/>
              <w:right w:val="single" w:sz="8" w:space="0" w:color="FFFFFF"/>
            </w:tcBorders>
            <w:shd w:val="clear" w:color="000000" w:fill="FCE4D6"/>
            <w:noWrap/>
            <w:vAlign w:val="center"/>
            <w:hideMark/>
          </w:tcPr>
          <w:p w14:paraId="07141F1E" w14:textId="77777777" w:rsidR="00CB2DEA" w:rsidRPr="00CB2DEA" w:rsidRDefault="00CB2DEA" w:rsidP="00CB2DEA">
            <w:pPr>
              <w:spacing w:after="0"/>
              <w:jc w:val="center"/>
              <w:rPr>
                <w:b/>
                <w:bCs/>
              </w:rPr>
            </w:pPr>
            <w:r w:rsidRPr="00CB2DEA">
              <w:rPr>
                <w:b/>
                <w:bCs/>
              </w:rPr>
              <w:t>21.687,88 €</w:t>
            </w:r>
          </w:p>
        </w:tc>
        <w:tc>
          <w:tcPr>
            <w:tcW w:w="1719" w:type="dxa"/>
            <w:tcBorders>
              <w:top w:val="nil"/>
              <w:left w:val="nil"/>
              <w:bottom w:val="single" w:sz="8" w:space="0" w:color="FFFFFF"/>
              <w:right w:val="nil"/>
            </w:tcBorders>
            <w:shd w:val="clear" w:color="000000" w:fill="F8CBAD"/>
            <w:noWrap/>
            <w:vAlign w:val="center"/>
            <w:hideMark/>
          </w:tcPr>
          <w:p w14:paraId="29FA717B" w14:textId="77777777" w:rsidR="00CB2DEA" w:rsidRPr="00CB2DEA" w:rsidRDefault="00CB2DEA" w:rsidP="00CB2DEA">
            <w:pPr>
              <w:spacing w:after="0"/>
              <w:jc w:val="center"/>
              <w:rPr>
                <w:b/>
                <w:bCs/>
              </w:rPr>
            </w:pPr>
            <w:r w:rsidRPr="00CB2DEA">
              <w:rPr>
                <w:b/>
                <w:bCs/>
              </w:rPr>
              <w:t>3,60%</w:t>
            </w:r>
          </w:p>
        </w:tc>
      </w:tr>
      <w:tr w:rsidR="00CB2DEA" w:rsidRPr="00CB2DEA" w14:paraId="3F4F7697" w14:textId="77777777" w:rsidTr="00CB2DEA">
        <w:trPr>
          <w:trHeight w:val="315"/>
        </w:trPr>
        <w:tc>
          <w:tcPr>
            <w:tcW w:w="752" w:type="dxa"/>
            <w:tcBorders>
              <w:top w:val="nil"/>
              <w:left w:val="single" w:sz="8" w:space="0" w:color="FFFFFF"/>
              <w:bottom w:val="single" w:sz="8" w:space="0" w:color="FFFFFF"/>
              <w:right w:val="single" w:sz="8" w:space="0" w:color="FFFFFF"/>
            </w:tcBorders>
            <w:shd w:val="clear" w:color="000000" w:fill="F8CBAD"/>
            <w:noWrap/>
            <w:vAlign w:val="center"/>
            <w:hideMark/>
          </w:tcPr>
          <w:p w14:paraId="407512EF" w14:textId="77777777" w:rsidR="00CB2DEA" w:rsidRPr="00CB2DEA" w:rsidRDefault="00CB2DEA" w:rsidP="00CB2DEA">
            <w:pPr>
              <w:spacing w:after="0"/>
              <w:jc w:val="center"/>
              <w:rPr>
                <w:b/>
                <w:bCs/>
              </w:rPr>
            </w:pPr>
            <w:r w:rsidRPr="00CB2DEA">
              <w:rPr>
                <w:b/>
                <w:bCs/>
              </w:rPr>
              <w:t>313</w:t>
            </w:r>
          </w:p>
        </w:tc>
        <w:tc>
          <w:tcPr>
            <w:tcW w:w="4271" w:type="dxa"/>
            <w:tcBorders>
              <w:top w:val="nil"/>
              <w:left w:val="nil"/>
              <w:bottom w:val="single" w:sz="8" w:space="0" w:color="FFFFFF"/>
              <w:right w:val="single" w:sz="8" w:space="0" w:color="FFFFFF"/>
            </w:tcBorders>
            <w:shd w:val="clear" w:color="000000" w:fill="F8CBAD"/>
            <w:noWrap/>
            <w:vAlign w:val="center"/>
            <w:hideMark/>
          </w:tcPr>
          <w:p w14:paraId="66643BEE" w14:textId="77777777" w:rsidR="00CB2DEA" w:rsidRPr="00CB2DEA" w:rsidRDefault="00CB2DEA" w:rsidP="00CB2DEA">
            <w:pPr>
              <w:spacing w:after="0"/>
              <w:jc w:val="center"/>
              <w:rPr>
                <w:b/>
                <w:bCs/>
              </w:rPr>
            </w:pPr>
            <w:r w:rsidRPr="00CB2DEA">
              <w:rPr>
                <w:b/>
                <w:bCs/>
              </w:rPr>
              <w:t>· Doprinosi na plaće</w:t>
            </w:r>
          </w:p>
        </w:tc>
        <w:tc>
          <w:tcPr>
            <w:tcW w:w="2608" w:type="dxa"/>
            <w:tcBorders>
              <w:top w:val="nil"/>
              <w:left w:val="nil"/>
              <w:bottom w:val="single" w:sz="8" w:space="0" w:color="FFFFFF"/>
              <w:right w:val="single" w:sz="8" w:space="0" w:color="FFFFFF"/>
            </w:tcBorders>
            <w:shd w:val="clear" w:color="000000" w:fill="F8CBAD"/>
            <w:noWrap/>
            <w:vAlign w:val="center"/>
            <w:hideMark/>
          </w:tcPr>
          <w:p w14:paraId="2E5C02E3" w14:textId="77777777" w:rsidR="00CB2DEA" w:rsidRPr="00CB2DEA" w:rsidRDefault="00CB2DEA" w:rsidP="00CB2DEA">
            <w:pPr>
              <w:spacing w:after="0"/>
              <w:jc w:val="center"/>
              <w:rPr>
                <w:b/>
                <w:bCs/>
              </w:rPr>
            </w:pPr>
            <w:r w:rsidRPr="00CB2DEA">
              <w:rPr>
                <w:b/>
                <w:bCs/>
              </w:rPr>
              <w:t>123.169,49 €</w:t>
            </w:r>
          </w:p>
        </w:tc>
        <w:tc>
          <w:tcPr>
            <w:tcW w:w="1719" w:type="dxa"/>
            <w:tcBorders>
              <w:top w:val="nil"/>
              <w:left w:val="nil"/>
              <w:bottom w:val="single" w:sz="8" w:space="0" w:color="FFFFFF"/>
              <w:right w:val="nil"/>
            </w:tcBorders>
            <w:shd w:val="clear" w:color="000000" w:fill="F8CBAD"/>
            <w:noWrap/>
            <w:vAlign w:val="center"/>
            <w:hideMark/>
          </w:tcPr>
          <w:p w14:paraId="1AE787BF" w14:textId="77777777" w:rsidR="00CB2DEA" w:rsidRPr="00CB2DEA" w:rsidRDefault="00CB2DEA" w:rsidP="00CB2DEA">
            <w:pPr>
              <w:spacing w:after="0"/>
              <w:jc w:val="center"/>
              <w:rPr>
                <w:b/>
                <w:bCs/>
              </w:rPr>
            </w:pPr>
            <w:r w:rsidRPr="00CB2DEA">
              <w:rPr>
                <w:b/>
                <w:bCs/>
              </w:rPr>
              <w:t>13,91%</w:t>
            </w:r>
          </w:p>
        </w:tc>
      </w:tr>
      <w:tr w:rsidR="00CB2DEA" w:rsidRPr="00CB2DEA" w14:paraId="7FCC65B9" w14:textId="77777777" w:rsidTr="00CB2DEA">
        <w:trPr>
          <w:trHeight w:val="315"/>
        </w:trPr>
        <w:tc>
          <w:tcPr>
            <w:tcW w:w="752" w:type="dxa"/>
            <w:tcBorders>
              <w:top w:val="nil"/>
              <w:left w:val="single" w:sz="8" w:space="0" w:color="FFFFFF"/>
              <w:bottom w:val="single" w:sz="8" w:space="0" w:color="FFFFFF"/>
              <w:right w:val="single" w:sz="8" w:space="0" w:color="FFFFFF"/>
            </w:tcBorders>
            <w:shd w:val="clear" w:color="000000" w:fill="FCE4D6"/>
            <w:noWrap/>
            <w:vAlign w:val="center"/>
            <w:hideMark/>
          </w:tcPr>
          <w:p w14:paraId="66854E47" w14:textId="77777777" w:rsidR="00CB2DEA" w:rsidRPr="00CB2DEA" w:rsidRDefault="00CB2DEA" w:rsidP="00CB2DEA">
            <w:pPr>
              <w:spacing w:after="0"/>
              <w:jc w:val="center"/>
              <w:rPr>
                <w:b/>
                <w:bCs/>
              </w:rPr>
            </w:pPr>
            <w:r w:rsidRPr="00CB2DEA">
              <w:rPr>
                <w:b/>
                <w:bCs/>
              </w:rPr>
              <w:t>32</w:t>
            </w:r>
          </w:p>
        </w:tc>
        <w:tc>
          <w:tcPr>
            <w:tcW w:w="4271" w:type="dxa"/>
            <w:tcBorders>
              <w:top w:val="nil"/>
              <w:left w:val="nil"/>
              <w:bottom w:val="single" w:sz="8" w:space="0" w:color="FFFFFF"/>
              <w:right w:val="single" w:sz="8" w:space="0" w:color="FFFFFF"/>
            </w:tcBorders>
            <w:shd w:val="clear" w:color="000000" w:fill="FCE4D6"/>
            <w:noWrap/>
            <w:vAlign w:val="center"/>
            <w:hideMark/>
          </w:tcPr>
          <w:p w14:paraId="2318E850" w14:textId="77777777" w:rsidR="00CB2DEA" w:rsidRPr="00CB2DEA" w:rsidRDefault="00CB2DEA" w:rsidP="00CB2DEA">
            <w:pPr>
              <w:spacing w:after="0"/>
              <w:jc w:val="center"/>
              <w:rPr>
                <w:b/>
                <w:bCs/>
              </w:rPr>
            </w:pPr>
            <w:r w:rsidRPr="00CB2DEA">
              <w:rPr>
                <w:b/>
                <w:bCs/>
              </w:rPr>
              <w:t>Materijalni rashodi</w:t>
            </w:r>
          </w:p>
        </w:tc>
        <w:tc>
          <w:tcPr>
            <w:tcW w:w="2608" w:type="dxa"/>
            <w:tcBorders>
              <w:top w:val="nil"/>
              <w:left w:val="nil"/>
              <w:bottom w:val="single" w:sz="8" w:space="0" w:color="FFFFFF"/>
              <w:right w:val="single" w:sz="8" w:space="0" w:color="FFFFFF"/>
            </w:tcBorders>
            <w:shd w:val="clear" w:color="000000" w:fill="FCE4D6"/>
            <w:noWrap/>
            <w:vAlign w:val="center"/>
            <w:hideMark/>
          </w:tcPr>
          <w:p w14:paraId="0D951BD5" w14:textId="77777777" w:rsidR="00CB2DEA" w:rsidRPr="00CB2DEA" w:rsidRDefault="00CB2DEA" w:rsidP="00CB2DEA">
            <w:pPr>
              <w:spacing w:after="0"/>
              <w:jc w:val="center"/>
              <w:rPr>
                <w:b/>
                <w:bCs/>
              </w:rPr>
            </w:pPr>
            <w:r w:rsidRPr="00CB2DEA">
              <w:rPr>
                <w:b/>
                <w:bCs/>
              </w:rPr>
              <w:t>135.104,16 €</w:t>
            </w:r>
          </w:p>
        </w:tc>
        <w:tc>
          <w:tcPr>
            <w:tcW w:w="1719" w:type="dxa"/>
            <w:tcBorders>
              <w:top w:val="nil"/>
              <w:left w:val="nil"/>
              <w:bottom w:val="single" w:sz="8" w:space="0" w:color="FFFFFF"/>
              <w:right w:val="nil"/>
            </w:tcBorders>
            <w:shd w:val="clear" w:color="000000" w:fill="FCE4D6"/>
            <w:noWrap/>
            <w:vAlign w:val="center"/>
            <w:hideMark/>
          </w:tcPr>
          <w:p w14:paraId="2C597AE5" w14:textId="77777777" w:rsidR="00CB2DEA" w:rsidRPr="00CB2DEA" w:rsidRDefault="00CB2DEA" w:rsidP="00CB2DEA">
            <w:pPr>
              <w:spacing w:after="0"/>
              <w:jc w:val="center"/>
              <w:rPr>
                <w:b/>
                <w:bCs/>
              </w:rPr>
            </w:pPr>
            <w:r w:rsidRPr="00CB2DEA">
              <w:rPr>
                <w:b/>
                <w:bCs/>
              </w:rPr>
              <w:t>15,26%</w:t>
            </w:r>
          </w:p>
        </w:tc>
      </w:tr>
      <w:tr w:rsidR="00CB2DEA" w:rsidRPr="00CB2DEA" w14:paraId="6BFE9DB6" w14:textId="77777777" w:rsidTr="00CB2DEA">
        <w:trPr>
          <w:trHeight w:val="315"/>
        </w:trPr>
        <w:tc>
          <w:tcPr>
            <w:tcW w:w="752" w:type="dxa"/>
            <w:tcBorders>
              <w:top w:val="nil"/>
              <w:left w:val="single" w:sz="8" w:space="0" w:color="FFFFFF"/>
              <w:bottom w:val="single" w:sz="8" w:space="0" w:color="FFFFFF"/>
              <w:right w:val="single" w:sz="8" w:space="0" w:color="FFFFFF"/>
            </w:tcBorders>
            <w:shd w:val="clear" w:color="000000" w:fill="F8CBAD"/>
            <w:noWrap/>
            <w:vAlign w:val="center"/>
            <w:hideMark/>
          </w:tcPr>
          <w:p w14:paraId="5F6775CC" w14:textId="77777777" w:rsidR="00CB2DEA" w:rsidRPr="00CB2DEA" w:rsidRDefault="00CB2DEA" w:rsidP="00CB2DEA">
            <w:pPr>
              <w:spacing w:after="0"/>
              <w:jc w:val="center"/>
              <w:rPr>
                <w:b/>
                <w:bCs/>
              </w:rPr>
            </w:pPr>
            <w:r w:rsidRPr="00CB2DEA">
              <w:rPr>
                <w:b/>
                <w:bCs/>
              </w:rPr>
              <w:t>321</w:t>
            </w:r>
          </w:p>
        </w:tc>
        <w:tc>
          <w:tcPr>
            <w:tcW w:w="4271" w:type="dxa"/>
            <w:tcBorders>
              <w:top w:val="nil"/>
              <w:left w:val="nil"/>
              <w:bottom w:val="single" w:sz="8" w:space="0" w:color="FFFFFF"/>
              <w:right w:val="single" w:sz="8" w:space="0" w:color="FFFFFF"/>
            </w:tcBorders>
            <w:shd w:val="clear" w:color="000000" w:fill="F8CBAD"/>
            <w:noWrap/>
            <w:vAlign w:val="center"/>
            <w:hideMark/>
          </w:tcPr>
          <w:p w14:paraId="1F1EFC3C" w14:textId="77777777" w:rsidR="00CB2DEA" w:rsidRPr="00CB2DEA" w:rsidRDefault="00CB2DEA" w:rsidP="00CB2DEA">
            <w:pPr>
              <w:spacing w:after="0"/>
              <w:jc w:val="center"/>
              <w:rPr>
                <w:b/>
                <w:bCs/>
              </w:rPr>
            </w:pPr>
            <w:r w:rsidRPr="00CB2DEA">
              <w:rPr>
                <w:b/>
                <w:bCs/>
              </w:rPr>
              <w:t>· Naknade troškova zaposlenima</w:t>
            </w:r>
          </w:p>
        </w:tc>
        <w:tc>
          <w:tcPr>
            <w:tcW w:w="2608" w:type="dxa"/>
            <w:tcBorders>
              <w:top w:val="nil"/>
              <w:left w:val="nil"/>
              <w:bottom w:val="single" w:sz="8" w:space="0" w:color="FFFFFF"/>
              <w:right w:val="single" w:sz="8" w:space="0" w:color="FFFFFF"/>
            </w:tcBorders>
            <w:shd w:val="clear" w:color="000000" w:fill="F8CBAD"/>
            <w:noWrap/>
            <w:vAlign w:val="center"/>
            <w:hideMark/>
          </w:tcPr>
          <w:p w14:paraId="02BF5D92" w14:textId="77777777" w:rsidR="00CB2DEA" w:rsidRPr="00CB2DEA" w:rsidRDefault="00CB2DEA" w:rsidP="00CB2DEA">
            <w:pPr>
              <w:spacing w:after="0"/>
              <w:jc w:val="center"/>
              <w:rPr>
                <w:b/>
                <w:bCs/>
              </w:rPr>
            </w:pPr>
            <w:r w:rsidRPr="00CB2DEA">
              <w:rPr>
                <w:b/>
                <w:bCs/>
              </w:rPr>
              <w:t>23.626,38 €</w:t>
            </w:r>
          </w:p>
        </w:tc>
        <w:tc>
          <w:tcPr>
            <w:tcW w:w="1719" w:type="dxa"/>
            <w:tcBorders>
              <w:top w:val="nil"/>
              <w:left w:val="nil"/>
              <w:bottom w:val="single" w:sz="8" w:space="0" w:color="FFFFFF"/>
              <w:right w:val="nil"/>
            </w:tcBorders>
            <w:shd w:val="clear" w:color="000000" w:fill="F8CBAD"/>
            <w:noWrap/>
            <w:vAlign w:val="center"/>
            <w:hideMark/>
          </w:tcPr>
          <w:p w14:paraId="0275605E" w14:textId="77777777" w:rsidR="00CB2DEA" w:rsidRPr="00CB2DEA" w:rsidRDefault="00CB2DEA" w:rsidP="00CB2DEA">
            <w:pPr>
              <w:spacing w:after="0"/>
              <w:jc w:val="center"/>
              <w:rPr>
                <w:b/>
                <w:bCs/>
              </w:rPr>
            </w:pPr>
            <w:r w:rsidRPr="00CB2DEA">
              <w:rPr>
                <w:b/>
                <w:bCs/>
              </w:rPr>
              <w:t>17,49%</w:t>
            </w:r>
          </w:p>
        </w:tc>
      </w:tr>
      <w:tr w:rsidR="00CB2DEA" w:rsidRPr="00CB2DEA" w14:paraId="605F7A31" w14:textId="77777777" w:rsidTr="00CB2DEA">
        <w:trPr>
          <w:trHeight w:val="315"/>
        </w:trPr>
        <w:tc>
          <w:tcPr>
            <w:tcW w:w="752" w:type="dxa"/>
            <w:tcBorders>
              <w:top w:val="nil"/>
              <w:left w:val="single" w:sz="8" w:space="0" w:color="FFFFFF"/>
              <w:bottom w:val="single" w:sz="8" w:space="0" w:color="FFFFFF"/>
              <w:right w:val="single" w:sz="8" w:space="0" w:color="FFFFFF"/>
            </w:tcBorders>
            <w:shd w:val="clear" w:color="000000" w:fill="FCE4D6"/>
            <w:noWrap/>
            <w:vAlign w:val="center"/>
            <w:hideMark/>
          </w:tcPr>
          <w:p w14:paraId="21F53C5C" w14:textId="77777777" w:rsidR="00CB2DEA" w:rsidRPr="00CB2DEA" w:rsidRDefault="00CB2DEA" w:rsidP="00CB2DEA">
            <w:pPr>
              <w:spacing w:after="0"/>
              <w:jc w:val="center"/>
              <w:rPr>
                <w:b/>
                <w:bCs/>
              </w:rPr>
            </w:pPr>
            <w:r w:rsidRPr="00CB2DEA">
              <w:rPr>
                <w:b/>
                <w:bCs/>
              </w:rPr>
              <w:t>322</w:t>
            </w:r>
          </w:p>
        </w:tc>
        <w:tc>
          <w:tcPr>
            <w:tcW w:w="4271" w:type="dxa"/>
            <w:tcBorders>
              <w:top w:val="nil"/>
              <w:left w:val="nil"/>
              <w:bottom w:val="single" w:sz="8" w:space="0" w:color="FFFFFF"/>
              <w:right w:val="single" w:sz="8" w:space="0" w:color="FFFFFF"/>
            </w:tcBorders>
            <w:shd w:val="clear" w:color="000000" w:fill="FCE4D6"/>
            <w:noWrap/>
            <w:vAlign w:val="center"/>
            <w:hideMark/>
          </w:tcPr>
          <w:p w14:paraId="58196153" w14:textId="77777777" w:rsidR="00CB2DEA" w:rsidRPr="00CB2DEA" w:rsidRDefault="00CB2DEA" w:rsidP="00CB2DEA">
            <w:pPr>
              <w:spacing w:after="0"/>
              <w:jc w:val="center"/>
              <w:rPr>
                <w:b/>
                <w:bCs/>
              </w:rPr>
            </w:pPr>
            <w:r w:rsidRPr="00CB2DEA">
              <w:rPr>
                <w:b/>
                <w:bCs/>
              </w:rPr>
              <w:t>· Rashodi za materijal i energiju</w:t>
            </w:r>
          </w:p>
        </w:tc>
        <w:tc>
          <w:tcPr>
            <w:tcW w:w="2608" w:type="dxa"/>
            <w:tcBorders>
              <w:top w:val="nil"/>
              <w:left w:val="nil"/>
              <w:bottom w:val="single" w:sz="8" w:space="0" w:color="FFFFFF"/>
              <w:right w:val="single" w:sz="8" w:space="0" w:color="FFFFFF"/>
            </w:tcBorders>
            <w:shd w:val="clear" w:color="000000" w:fill="FCE4D6"/>
            <w:noWrap/>
            <w:vAlign w:val="center"/>
            <w:hideMark/>
          </w:tcPr>
          <w:p w14:paraId="60B78711" w14:textId="77777777" w:rsidR="00CB2DEA" w:rsidRPr="00CB2DEA" w:rsidRDefault="00CB2DEA" w:rsidP="00CB2DEA">
            <w:pPr>
              <w:spacing w:after="0"/>
              <w:jc w:val="center"/>
              <w:rPr>
                <w:b/>
                <w:bCs/>
              </w:rPr>
            </w:pPr>
            <w:r w:rsidRPr="00CB2DEA">
              <w:rPr>
                <w:b/>
                <w:bCs/>
              </w:rPr>
              <w:t>42.266,31 €</w:t>
            </w:r>
          </w:p>
        </w:tc>
        <w:tc>
          <w:tcPr>
            <w:tcW w:w="1719" w:type="dxa"/>
            <w:tcBorders>
              <w:top w:val="nil"/>
              <w:left w:val="nil"/>
              <w:bottom w:val="single" w:sz="8" w:space="0" w:color="FFFFFF"/>
              <w:right w:val="nil"/>
            </w:tcBorders>
            <w:shd w:val="clear" w:color="000000" w:fill="F8CBAD"/>
            <w:noWrap/>
            <w:vAlign w:val="center"/>
            <w:hideMark/>
          </w:tcPr>
          <w:p w14:paraId="7BC56FD0" w14:textId="77777777" w:rsidR="00CB2DEA" w:rsidRPr="00CB2DEA" w:rsidRDefault="00CB2DEA" w:rsidP="00CB2DEA">
            <w:pPr>
              <w:spacing w:after="0"/>
              <w:jc w:val="center"/>
              <w:rPr>
                <w:b/>
                <w:bCs/>
              </w:rPr>
            </w:pPr>
            <w:r w:rsidRPr="00CB2DEA">
              <w:rPr>
                <w:b/>
                <w:bCs/>
              </w:rPr>
              <w:t>31,28%</w:t>
            </w:r>
          </w:p>
        </w:tc>
      </w:tr>
      <w:tr w:rsidR="00CB2DEA" w:rsidRPr="00CB2DEA" w14:paraId="70F7FDE6" w14:textId="77777777" w:rsidTr="00CB2DEA">
        <w:trPr>
          <w:trHeight w:val="315"/>
        </w:trPr>
        <w:tc>
          <w:tcPr>
            <w:tcW w:w="752" w:type="dxa"/>
            <w:tcBorders>
              <w:top w:val="nil"/>
              <w:left w:val="single" w:sz="8" w:space="0" w:color="FFFFFF"/>
              <w:bottom w:val="single" w:sz="8" w:space="0" w:color="FFFFFF"/>
              <w:right w:val="single" w:sz="8" w:space="0" w:color="FFFFFF"/>
            </w:tcBorders>
            <w:shd w:val="clear" w:color="000000" w:fill="F8CBAD"/>
            <w:noWrap/>
            <w:vAlign w:val="center"/>
            <w:hideMark/>
          </w:tcPr>
          <w:p w14:paraId="49DF9EEA" w14:textId="77777777" w:rsidR="00CB2DEA" w:rsidRPr="00CB2DEA" w:rsidRDefault="00CB2DEA" w:rsidP="00CB2DEA">
            <w:pPr>
              <w:spacing w:after="0"/>
              <w:jc w:val="center"/>
              <w:rPr>
                <w:b/>
                <w:bCs/>
              </w:rPr>
            </w:pPr>
            <w:r w:rsidRPr="00CB2DEA">
              <w:rPr>
                <w:b/>
                <w:bCs/>
              </w:rPr>
              <w:t>323</w:t>
            </w:r>
          </w:p>
        </w:tc>
        <w:tc>
          <w:tcPr>
            <w:tcW w:w="4271" w:type="dxa"/>
            <w:tcBorders>
              <w:top w:val="nil"/>
              <w:left w:val="nil"/>
              <w:bottom w:val="single" w:sz="8" w:space="0" w:color="FFFFFF"/>
              <w:right w:val="single" w:sz="8" w:space="0" w:color="FFFFFF"/>
            </w:tcBorders>
            <w:shd w:val="clear" w:color="000000" w:fill="F8CBAD"/>
            <w:noWrap/>
            <w:vAlign w:val="center"/>
            <w:hideMark/>
          </w:tcPr>
          <w:p w14:paraId="22E04D2D" w14:textId="77777777" w:rsidR="00CB2DEA" w:rsidRPr="00CB2DEA" w:rsidRDefault="00CB2DEA" w:rsidP="00CB2DEA">
            <w:pPr>
              <w:spacing w:after="0"/>
              <w:jc w:val="center"/>
              <w:rPr>
                <w:b/>
                <w:bCs/>
              </w:rPr>
            </w:pPr>
            <w:r w:rsidRPr="00CB2DEA">
              <w:rPr>
                <w:b/>
                <w:bCs/>
              </w:rPr>
              <w:t>· Rashodi za usluge</w:t>
            </w:r>
          </w:p>
        </w:tc>
        <w:tc>
          <w:tcPr>
            <w:tcW w:w="2608" w:type="dxa"/>
            <w:tcBorders>
              <w:top w:val="nil"/>
              <w:left w:val="nil"/>
              <w:bottom w:val="single" w:sz="8" w:space="0" w:color="FFFFFF"/>
              <w:right w:val="single" w:sz="8" w:space="0" w:color="FFFFFF"/>
            </w:tcBorders>
            <w:shd w:val="clear" w:color="000000" w:fill="F8CBAD"/>
            <w:noWrap/>
            <w:vAlign w:val="center"/>
            <w:hideMark/>
          </w:tcPr>
          <w:p w14:paraId="11FD8CD8" w14:textId="77777777" w:rsidR="00CB2DEA" w:rsidRPr="00CB2DEA" w:rsidRDefault="00CB2DEA" w:rsidP="00CB2DEA">
            <w:pPr>
              <w:spacing w:after="0"/>
              <w:jc w:val="center"/>
              <w:rPr>
                <w:b/>
                <w:bCs/>
              </w:rPr>
            </w:pPr>
            <w:r w:rsidRPr="00CB2DEA">
              <w:rPr>
                <w:b/>
                <w:bCs/>
              </w:rPr>
              <w:t>62.017,72 €</w:t>
            </w:r>
          </w:p>
        </w:tc>
        <w:tc>
          <w:tcPr>
            <w:tcW w:w="1719" w:type="dxa"/>
            <w:tcBorders>
              <w:top w:val="nil"/>
              <w:left w:val="nil"/>
              <w:bottom w:val="single" w:sz="8" w:space="0" w:color="FFFFFF"/>
              <w:right w:val="nil"/>
            </w:tcBorders>
            <w:shd w:val="clear" w:color="000000" w:fill="F8CBAD"/>
            <w:noWrap/>
            <w:vAlign w:val="center"/>
            <w:hideMark/>
          </w:tcPr>
          <w:p w14:paraId="4710F79C" w14:textId="77777777" w:rsidR="00CB2DEA" w:rsidRPr="00CB2DEA" w:rsidRDefault="00CB2DEA" w:rsidP="00CB2DEA">
            <w:pPr>
              <w:spacing w:after="0"/>
              <w:jc w:val="center"/>
              <w:rPr>
                <w:b/>
                <w:bCs/>
              </w:rPr>
            </w:pPr>
            <w:r w:rsidRPr="00CB2DEA">
              <w:rPr>
                <w:b/>
                <w:bCs/>
              </w:rPr>
              <w:t>45,90%</w:t>
            </w:r>
          </w:p>
        </w:tc>
      </w:tr>
      <w:tr w:rsidR="00CB2DEA" w:rsidRPr="00CB2DEA" w14:paraId="4EDCC319" w14:textId="77777777" w:rsidTr="00CB2DEA">
        <w:trPr>
          <w:trHeight w:val="315"/>
        </w:trPr>
        <w:tc>
          <w:tcPr>
            <w:tcW w:w="752" w:type="dxa"/>
            <w:tcBorders>
              <w:top w:val="nil"/>
              <w:left w:val="single" w:sz="8" w:space="0" w:color="FFFFFF"/>
              <w:bottom w:val="single" w:sz="8" w:space="0" w:color="FFFFFF"/>
              <w:right w:val="single" w:sz="8" w:space="0" w:color="FFFFFF"/>
            </w:tcBorders>
            <w:shd w:val="clear" w:color="000000" w:fill="FCE4D6"/>
            <w:noWrap/>
            <w:vAlign w:val="center"/>
            <w:hideMark/>
          </w:tcPr>
          <w:p w14:paraId="74D465C6" w14:textId="77777777" w:rsidR="00CB2DEA" w:rsidRPr="00CB2DEA" w:rsidRDefault="00CB2DEA" w:rsidP="00CB2DEA">
            <w:pPr>
              <w:spacing w:after="0"/>
              <w:jc w:val="center"/>
              <w:rPr>
                <w:b/>
                <w:bCs/>
              </w:rPr>
            </w:pPr>
            <w:r w:rsidRPr="00CB2DEA">
              <w:rPr>
                <w:b/>
                <w:bCs/>
              </w:rPr>
              <w:t>329</w:t>
            </w:r>
          </w:p>
        </w:tc>
        <w:tc>
          <w:tcPr>
            <w:tcW w:w="4271" w:type="dxa"/>
            <w:tcBorders>
              <w:top w:val="nil"/>
              <w:left w:val="nil"/>
              <w:bottom w:val="single" w:sz="8" w:space="0" w:color="FFFFFF"/>
              <w:right w:val="single" w:sz="8" w:space="0" w:color="FFFFFF"/>
            </w:tcBorders>
            <w:shd w:val="clear" w:color="000000" w:fill="FCE4D6"/>
            <w:noWrap/>
            <w:vAlign w:val="center"/>
            <w:hideMark/>
          </w:tcPr>
          <w:p w14:paraId="13515BA3" w14:textId="77777777" w:rsidR="00CB2DEA" w:rsidRPr="00CB2DEA" w:rsidRDefault="00CB2DEA" w:rsidP="00CB2DEA">
            <w:pPr>
              <w:spacing w:after="0"/>
              <w:jc w:val="center"/>
              <w:rPr>
                <w:b/>
                <w:bCs/>
              </w:rPr>
            </w:pPr>
            <w:r w:rsidRPr="00CB2DEA">
              <w:rPr>
                <w:b/>
                <w:bCs/>
              </w:rPr>
              <w:t>· Ostali nespomenuti rashodi poslovanja</w:t>
            </w:r>
          </w:p>
        </w:tc>
        <w:tc>
          <w:tcPr>
            <w:tcW w:w="2608" w:type="dxa"/>
            <w:tcBorders>
              <w:top w:val="nil"/>
              <w:left w:val="nil"/>
              <w:bottom w:val="single" w:sz="8" w:space="0" w:color="FFFFFF"/>
              <w:right w:val="single" w:sz="8" w:space="0" w:color="FFFFFF"/>
            </w:tcBorders>
            <w:shd w:val="clear" w:color="000000" w:fill="FCE4D6"/>
            <w:noWrap/>
            <w:vAlign w:val="center"/>
            <w:hideMark/>
          </w:tcPr>
          <w:p w14:paraId="333535B0" w14:textId="77777777" w:rsidR="00CB2DEA" w:rsidRPr="00CB2DEA" w:rsidRDefault="00CB2DEA" w:rsidP="00CB2DEA">
            <w:pPr>
              <w:spacing w:after="0"/>
              <w:jc w:val="center"/>
              <w:rPr>
                <w:b/>
                <w:bCs/>
              </w:rPr>
            </w:pPr>
            <w:r w:rsidRPr="00CB2DEA">
              <w:rPr>
                <w:b/>
                <w:bCs/>
              </w:rPr>
              <w:t>7.193,75 €</w:t>
            </w:r>
          </w:p>
        </w:tc>
        <w:tc>
          <w:tcPr>
            <w:tcW w:w="1719" w:type="dxa"/>
            <w:tcBorders>
              <w:top w:val="nil"/>
              <w:left w:val="nil"/>
              <w:bottom w:val="single" w:sz="8" w:space="0" w:color="FFFFFF"/>
              <w:right w:val="nil"/>
            </w:tcBorders>
            <w:shd w:val="clear" w:color="000000" w:fill="F8CBAD"/>
            <w:noWrap/>
            <w:vAlign w:val="center"/>
            <w:hideMark/>
          </w:tcPr>
          <w:p w14:paraId="1B5960A1" w14:textId="77777777" w:rsidR="00CB2DEA" w:rsidRPr="00CB2DEA" w:rsidRDefault="00CB2DEA" w:rsidP="00CB2DEA">
            <w:pPr>
              <w:spacing w:after="0"/>
              <w:jc w:val="center"/>
              <w:rPr>
                <w:b/>
                <w:bCs/>
              </w:rPr>
            </w:pPr>
            <w:r w:rsidRPr="00CB2DEA">
              <w:rPr>
                <w:b/>
                <w:bCs/>
              </w:rPr>
              <w:t>5,32%</w:t>
            </w:r>
          </w:p>
        </w:tc>
      </w:tr>
      <w:tr w:rsidR="00CB2DEA" w:rsidRPr="00CB2DEA" w14:paraId="1D6ABFC7" w14:textId="77777777" w:rsidTr="00CB2DEA">
        <w:trPr>
          <w:trHeight w:val="315"/>
        </w:trPr>
        <w:tc>
          <w:tcPr>
            <w:tcW w:w="752" w:type="dxa"/>
            <w:tcBorders>
              <w:top w:val="nil"/>
              <w:left w:val="single" w:sz="8" w:space="0" w:color="FFFFFF"/>
              <w:bottom w:val="single" w:sz="8" w:space="0" w:color="FFFFFF"/>
              <w:right w:val="single" w:sz="8" w:space="0" w:color="FFFFFF"/>
            </w:tcBorders>
            <w:shd w:val="clear" w:color="000000" w:fill="F8CBAD"/>
            <w:noWrap/>
            <w:vAlign w:val="center"/>
            <w:hideMark/>
          </w:tcPr>
          <w:p w14:paraId="06358248" w14:textId="77777777" w:rsidR="00CB2DEA" w:rsidRPr="00CB2DEA" w:rsidRDefault="00CB2DEA" w:rsidP="00CB2DEA">
            <w:pPr>
              <w:spacing w:after="0"/>
              <w:jc w:val="center"/>
              <w:rPr>
                <w:b/>
                <w:bCs/>
              </w:rPr>
            </w:pPr>
            <w:r w:rsidRPr="00CB2DEA">
              <w:rPr>
                <w:b/>
                <w:bCs/>
              </w:rPr>
              <w:t>34</w:t>
            </w:r>
          </w:p>
        </w:tc>
        <w:tc>
          <w:tcPr>
            <w:tcW w:w="4271" w:type="dxa"/>
            <w:tcBorders>
              <w:top w:val="nil"/>
              <w:left w:val="nil"/>
              <w:bottom w:val="single" w:sz="8" w:space="0" w:color="FFFFFF"/>
              <w:right w:val="single" w:sz="8" w:space="0" w:color="FFFFFF"/>
            </w:tcBorders>
            <w:shd w:val="clear" w:color="000000" w:fill="F8CBAD"/>
            <w:noWrap/>
            <w:vAlign w:val="center"/>
            <w:hideMark/>
          </w:tcPr>
          <w:p w14:paraId="4DD3C2B9" w14:textId="77777777" w:rsidR="00CB2DEA" w:rsidRPr="00CB2DEA" w:rsidRDefault="00CB2DEA" w:rsidP="00CB2DEA">
            <w:pPr>
              <w:spacing w:after="0"/>
              <w:jc w:val="center"/>
              <w:rPr>
                <w:b/>
                <w:bCs/>
              </w:rPr>
            </w:pPr>
            <w:r w:rsidRPr="00CB2DEA">
              <w:rPr>
                <w:b/>
                <w:bCs/>
              </w:rPr>
              <w:t>Financijski rashodi</w:t>
            </w:r>
          </w:p>
        </w:tc>
        <w:tc>
          <w:tcPr>
            <w:tcW w:w="2608" w:type="dxa"/>
            <w:tcBorders>
              <w:top w:val="nil"/>
              <w:left w:val="nil"/>
              <w:bottom w:val="single" w:sz="8" w:space="0" w:color="FFFFFF"/>
              <w:right w:val="single" w:sz="8" w:space="0" w:color="FFFFFF"/>
            </w:tcBorders>
            <w:shd w:val="clear" w:color="000000" w:fill="F8CBAD"/>
            <w:noWrap/>
            <w:vAlign w:val="center"/>
            <w:hideMark/>
          </w:tcPr>
          <w:p w14:paraId="4FE20062" w14:textId="77777777" w:rsidR="00CB2DEA" w:rsidRPr="00CB2DEA" w:rsidRDefault="00CB2DEA" w:rsidP="00CB2DEA">
            <w:pPr>
              <w:spacing w:after="0"/>
              <w:jc w:val="center"/>
              <w:rPr>
                <w:b/>
                <w:bCs/>
              </w:rPr>
            </w:pPr>
            <w:r w:rsidRPr="00CB2DEA">
              <w:rPr>
                <w:b/>
                <w:bCs/>
              </w:rPr>
              <w:t>644,44 €</w:t>
            </w:r>
          </w:p>
        </w:tc>
        <w:tc>
          <w:tcPr>
            <w:tcW w:w="1719" w:type="dxa"/>
            <w:tcBorders>
              <w:top w:val="nil"/>
              <w:left w:val="nil"/>
              <w:bottom w:val="single" w:sz="8" w:space="0" w:color="FFFFFF"/>
              <w:right w:val="nil"/>
            </w:tcBorders>
            <w:shd w:val="clear" w:color="000000" w:fill="F8CBAD"/>
            <w:noWrap/>
            <w:vAlign w:val="center"/>
            <w:hideMark/>
          </w:tcPr>
          <w:p w14:paraId="2C358CE4" w14:textId="77777777" w:rsidR="00CB2DEA" w:rsidRPr="00CB2DEA" w:rsidRDefault="00CB2DEA" w:rsidP="00CB2DEA">
            <w:pPr>
              <w:spacing w:after="0"/>
              <w:jc w:val="center"/>
              <w:rPr>
                <w:b/>
                <w:bCs/>
              </w:rPr>
            </w:pPr>
            <w:r w:rsidRPr="00CB2DEA">
              <w:rPr>
                <w:b/>
                <w:bCs/>
              </w:rPr>
              <w:t>0,09%</w:t>
            </w:r>
          </w:p>
        </w:tc>
      </w:tr>
      <w:tr w:rsidR="00CB2DEA" w:rsidRPr="00CB2DEA" w14:paraId="0E28CB64" w14:textId="77777777" w:rsidTr="00CB2DEA">
        <w:trPr>
          <w:trHeight w:val="315"/>
        </w:trPr>
        <w:tc>
          <w:tcPr>
            <w:tcW w:w="752" w:type="dxa"/>
            <w:tcBorders>
              <w:top w:val="nil"/>
              <w:left w:val="single" w:sz="8" w:space="0" w:color="FFFFFF"/>
              <w:bottom w:val="single" w:sz="8" w:space="0" w:color="FFFFFF"/>
              <w:right w:val="single" w:sz="8" w:space="0" w:color="FFFFFF"/>
            </w:tcBorders>
            <w:shd w:val="clear" w:color="000000" w:fill="FCE4D6"/>
            <w:noWrap/>
            <w:vAlign w:val="center"/>
            <w:hideMark/>
          </w:tcPr>
          <w:p w14:paraId="234BEA92" w14:textId="77777777" w:rsidR="00CB2DEA" w:rsidRPr="00CB2DEA" w:rsidRDefault="00CB2DEA" w:rsidP="00CB2DEA">
            <w:pPr>
              <w:spacing w:after="0"/>
              <w:jc w:val="center"/>
              <w:rPr>
                <w:b/>
                <w:bCs/>
              </w:rPr>
            </w:pPr>
            <w:r w:rsidRPr="00CB2DEA">
              <w:rPr>
                <w:b/>
                <w:bCs/>
              </w:rPr>
              <w:t>343</w:t>
            </w:r>
          </w:p>
        </w:tc>
        <w:tc>
          <w:tcPr>
            <w:tcW w:w="4271" w:type="dxa"/>
            <w:tcBorders>
              <w:top w:val="nil"/>
              <w:left w:val="nil"/>
              <w:bottom w:val="single" w:sz="8" w:space="0" w:color="FFFFFF"/>
              <w:right w:val="single" w:sz="8" w:space="0" w:color="FFFFFF"/>
            </w:tcBorders>
            <w:shd w:val="clear" w:color="000000" w:fill="FCE4D6"/>
            <w:noWrap/>
            <w:vAlign w:val="center"/>
            <w:hideMark/>
          </w:tcPr>
          <w:p w14:paraId="32729C23" w14:textId="77777777" w:rsidR="00CB2DEA" w:rsidRPr="00CB2DEA" w:rsidRDefault="00CB2DEA" w:rsidP="00CB2DEA">
            <w:pPr>
              <w:spacing w:after="0"/>
              <w:jc w:val="center"/>
              <w:rPr>
                <w:b/>
                <w:bCs/>
              </w:rPr>
            </w:pPr>
            <w:r w:rsidRPr="00CB2DEA">
              <w:rPr>
                <w:b/>
                <w:bCs/>
              </w:rPr>
              <w:t xml:space="preserve">· Ostali financijski rashodi </w:t>
            </w:r>
          </w:p>
        </w:tc>
        <w:tc>
          <w:tcPr>
            <w:tcW w:w="2608" w:type="dxa"/>
            <w:tcBorders>
              <w:top w:val="nil"/>
              <w:left w:val="nil"/>
              <w:bottom w:val="single" w:sz="8" w:space="0" w:color="FFFFFF"/>
              <w:right w:val="single" w:sz="8" w:space="0" w:color="FFFFFF"/>
            </w:tcBorders>
            <w:shd w:val="clear" w:color="000000" w:fill="FCE4D6"/>
            <w:noWrap/>
            <w:vAlign w:val="center"/>
            <w:hideMark/>
          </w:tcPr>
          <w:p w14:paraId="71DCADEC" w14:textId="77777777" w:rsidR="00CB2DEA" w:rsidRPr="00CB2DEA" w:rsidRDefault="00CB2DEA" w:rsidP="00CB2DEA">
            <w:pPr>
              <w:spacing w:after="0"/>
              <w:jc w:val="center"/>
              <w:rPr>
                <w:b/>
                <w:bCs/>
              </w:rPr>
            </w:pPr>
            <w:r w:rsidRPr="00CB2DEA">
              <w:rPr>
                <w:b/>
                <w:bCs/>
              </w:rPr>
              <w:t>644,44 €</w:t>
            </w:r>
          </w:p>
        </w:tc>
        <w:tc>
          <w:tcPr>
            <w:tcW w:w="1719" w:type="dxa"/>
            <w:tcBorders>
              <w:top w:val="nil"/>
              <w:left w:val="nil"/>
              <w:bottom w:val="single" w:sz="8" w:space="0" w:color="FFFFFF"/>
              <w:right w:val="nil"/>
            </w:tcBorders>
            <w:shd w:val="clear" w:color="000000" w:fill="FCE4D6"/>
            <w:noWrap/>
            <w:vAlign w:val="center"/>
            <w:hideMark/>
          </w:tcPr>
          <w:p w14:paraId="3A093451" w14:textId="77777777" w:rsidR="00CB2DEA" w:rsidRPr="00CB2DEA" w:rsidRDefault="00CB2DEA" w:rsidP="00CB2DEA">
            <w:pPr>
              <w:spacing w:after="0"/>
              <w:jc w:val="center"/>
              <w:rPr>
                <w:b/>
                <w:bCs/>
              </w:rPr>
            </w:pPr>
            <w:r w:rsidRPr="00CB2DEA">
              <w:rPr>
                <w:b/>
                <w:bCs/>
              </w:rPr>
              <w:t>0,07%</w:t>
            </w:r>
          </w:p>
        </w:tc>
      </w:tr>
      <w:tr w:rsidR="00CB2DEA" w:rsidRPr="00CB2DEA" w14:paraId="4A362047" w14:textId="77777777" w:rsidTr="00CB2DEA">
        <w:trPr>
          <w:trHeight w:val="525"/>
        </w:trPr>
        <w:tc>
          <w:tcPr>
            <w:tcW w:w="752" w:type="dxa"/>
            <w:tcBorders>
              <w:top w:val="nil"/>
              <w:left w:val="single" w:sz="8" w:space="0" w:color="FFFFFF"/>
              <w:bottom w:val="single" w:sz="8" w:space="0" w:color="FFFFFF"/>
              <w:right w:val="single" w:sz="8" w:space="0" w:color="FFFFFF"/>
            </w:tcBorders>
            <w:shd w:val="clear" w:color="000000" w:fill="FCE4D6"/>
            <w:noWrap/>
            <w:vAlign w:val="center"/>
            <w:hideMark/>
          </w:tcPr>
          <w:p w14:paraId="4E0F6523" w14:textId="77777777" w:rsidR="00CB2DEA" w:rsidRPr="00CB2DEA" w:rsidRDefault="00CB2DEA" w:rsidP="00CB2DEA">
            <w:pPr>
              <w:spacing w:after="0"/>
              <w:jc w:val="center"/>
              <w:rPr>
                <w:b/>
                <w:bCs/>
              </w:rPr>
            </w:pPr>
            <w:r w:rsidRPr="00CB2DEA">
              <w:rPr>
                <w:b/>
                <w:bCs/>
              </w:rPr>
              <w:t>37</w:t>
            </w:r>
          </w:p>
        </w:tc>
        <w:tc>
          <w:tcPr>
            <w:tcW w:w="4271" w:type="dxa"/>
            <w:tcBorders>
              <w:top w:val="nil"/>
              <w:left w:val="nil"/>
              <w:bottom w:val="single" w:sz="8" w:space="0" w:color="FFFFFF"/>
              <w:right w:val="single" w:sz="8" w:space="0" w:color="FFFFFF"/>
            </w:tcBorders>
            <w:shd w:val="clear" w:color="000000" w:fill="FCE4D6"/>
            <w:vAlign w:val="center"/>
            <w:hideMark/>
          </w:tcPr>
          <w:p w14:paraId="3FA7D731" w14:textId="77777777" w:rsidR="00CB2DEA" w:rsidRPr="00CB2DEA" w:rsidRDefault="00CB2DEA" w:rsidP="00CB2DEA">
            <w:pPr>
              <w:spacing w:after="0"/>
              <w:jc w:val="center"/>
              <w:rPr>
                <w:b/>
                <w:bCs/>
              </w:rPr>
            </w:pPr>
            <w:r w:rsidRPr="00CB2DEA">
              <w:rPr>
                <w:b/>
                <w:bCs/>
              </w:rPr>
              <w:t>Naknade građanima i kućanstvima na temelju osiguranja i druge naknade</w:t>
            </w:r>
          </w:p>
        </w:tc>
        <w:tc>
          <w:tcPr>
            <w:tcW w:w="2608" w:type="dxa"/>
            <w:tcBorders>
              <w:top w:val="nil"/>
              <w:left w:val="nil"/>
              <w:bottom w:val="single" w:sz="8" w:space="0" w:color="FFFFFF"/>
              <w:right w:val="single" w:sz="8" w:space="0" w:color="FFFFFF"/>
            </w:tcBorders>
            <w:shd w:val="clear" w:color="000000" w:fill="FCE4D6"/>
            <w:noWrap/>
            <w:vAlign w:val="center"/>
            <w:hideMark/>
          </w:tcPr>
          <w:p w14:paraId="24F746B9" w14:textId="77777777" w:rsidR="00CB2DEA" w:rsidRPr="00CB2DEA" w:rsidRDefault="00CB2DEA" w:rsidP="00CB2DEA">
            <w:pPr>
              <w:spacing w:after="0"/>
              <w:jc w:val="center"/>
              <w:rPr>
                <w:b/>
                <w:bCs/>
              </w:rPr>
            </w:pPr>
            <w:r w:rsidRPr="00CB2DEA">
              <w:rPr>
                <w:b/>
                <w:bCs/>
              </w:rPr>
              <w:t>2.880,00 €</w:t>
            </w:r>
          </w:p>
        </w:tc>
        <w:tc>
          <w:tcPr>
            <w:tcW w:w="1719" w:type="dxa"/>
            <w:tcBorders>
              <w:top w:val="nil"/>
              <w:left w:val="nil"/>
              <w:bottom w:val="single" w:sz="8" w:space="0" w:color="FFFFFF"/>
              <w:right w:val="nil"/>
            </w:tcBorders>
            <w:shd w:val="clear" w:color="000000" w:fill="FCE4D6"/>
            <w:noWrap/>
            <w:vAlign w:val="center"/>
            <w:hideMark/>
          </w:tcPr>
          <w:p w14:paraId="3D60EB78" w14:textId="77777777" w:rsidR="00CB2DEA" w:rsidRPr="00CB2DEA" w:rsidRDefault="00CB2DEA" w:rsidP="00CB2DEA">
            <w:pPr>
              <w:spacing w:after="0"/>
              <w:jc w:val="center"/>
              <w:rPr>
                <w:b/>
                <w:bCs/>
              </w:rPr>
            </w:pPr>
            <w:r w:rsidRPr="00CB2DEA">
              <w:rPr>
                <w:b/>
                <w:bCs/>
              </w:rPr>
              <w:t>0,33%</w:t>
            </w:r>
          </w:p>
        </w:tc>
      </w:tr>
      <w:tr w:rsidR="00CB2DEA" w:rsidRPr="00CB2DEA" w14:paraId="1F09B5F0" w14:textId="77777777" w:rsidTr="00CB2DEA">
        <w:trPr>
          <w:trHeight w:val="315"/>
        </w:trPr>
        <w:tc>
          <w:tcPr>
            <w:tcW w:w="752" w:type="dxa"/>
            <w:tcBorders>
              <w:top w:val="nil"/>
              <w:left w:val="single" w:sz="8" w:space="0" w:color="FFFFFF"/>
              <w:bottom w:val="single" w:sz="8" w:space="0" w:color="FFFFFF"/>
              <w:right w:val="single" w:sz="8" w:space="0" w:color="FFFFFF"/>
            </w:tcBorders>
            <w:shd w:val="clear" w:color="000000" w:fill="FCE4D6"/>
            <w:noWrap/>
            <w:vAlign w:val="center"/>
            <w:hideMark/>
          </w:tcPr>
          <w:p w14:paraId="19811ACA" w14:textId="77777777" w:rsidR="00CB2DEA" w:rsidRPr="00CB2DEA" w:rsidRDefault="00CB2DEA" w:rsidP="00CB2DEA">
            <w:pPr>
              <w:spacing w:after="0"/>
              <w:jc w:val="center"/>
              <w:rPr>
                <w:b/>
                <w:bCs/>
              </w:rPr>
            </w:pPr>
            <w:r w:rsidRPr="00CB2DEA">
              <w:rPr>
                <w:b/>
                <w:bCs/>
              </w:rPr>
              <w:t>372</w:t>
            </w:r>
          </w:p>
        </w:tc>
        <w:tc>
          <w:tcPr>
            <w:tcW w:w="4271" w:type="dxa"/>
            <w:tcBorders>
              <w:top w:val="nil"/>
              <w:left w:val="nil"/>
              <w:bottom w:val="single" w:sz="8" w:space="0" w:color="FFFFFF"/>
              <w:right w:val="single" w:sz="8" w:space="0" w:color="FFFFFF"/>
            </w:tcBorders>
            <w:shd w:val="clear" w:color="000000" w:fill="FCE4D6"/>
            <w:noWrap/>
            <w:vAlign w:val="center"/>
            <w:hideMark/>
          </w:tcPr>
          <w:p w14:paraId="08ED6671" w14:textId="77777777" w:rsidR="00CB2DEA" w:rsidRPr="00CB2DEA" w:rsidRDefault="00CB2DEA" w:rsidP="00CB2DEA">
            <w:pPr>
              <w:spacing w:after="0"/>
              <w:jc w:val="center"/>
              <w:rPr>
                <w:b/>
                <w:bCs/>
              </w:rPr>
            </w:pPr>
            <w:r w:rsidRPr="00CB2DEA">
              <w:rPr>
                <w:b/>
                <w:bCs/>
              </w:rPr>
              <w:t>Naknade građanima i kućanstvima u novcu</w:t>
            </w:r>
          </w:p>
        </w:tc>
        <w:tc>
          <w:tcPr>
            <w:tcW w:w="2608" w:type="dxa"/>
            <w:tcBorders>
              <w:top w:val="nil"/>
              <w:left w:val="nil"/>
              <w:bottom w:val="single" w:sz="8" w:space="0" w:color="FFFFFF"/>
              <w:right w:val="single" w:sz="8" w:space="0" w:color="FFFFFF"/>
            </w:tcBorders>
            <w:shd w:val="clear" w:color="000000" w:fill="FCE4D6"/>
            <w:noWrap/>
            <w:vAlign w:val="center"/>
            <w:hideMark/>
          </w:tcPr>
          <w:p w14:paraId="167FB33A" w14:textId="77777777" w:rsidR="00CB2DEA" w:rsidRPr="00CB2DEA" w:rsidRDefault="00CB2DEA" w:rsidP="00CB2DEA">
            <w:pPr>
              <w:spacing w:after="0"/>
              <w:jc w:val="center"/>
              <w:rPr>
                <w:b/>
                <w:bCs/>
              </w:rPr>
            </w:pPr>
            <w:r w:rsidRPr="00CB2DEA">
              <w:rPr>
                <w:b/>
                <w:bCs/>
              </w:rPr>
              <w:t>2.880,00 €</w:t>
            </w:r>
          </w:p>
        </w:tc>
        <w:tc>
          <w:tcPr>
            <w:tcW w:w="1719" w:type="dxa"/>
            <w:tcBorders>
              <w:top w:val="nil"/>
              <w:left w:val="nil"/>
              <w:bottom w:val="single" w:sz="8" w:space="0" w:color="FFFFFF"/>
              <w:right w:val="nil"/>
            </w:tcBorders>
            <w:shd w:val="clear" w:color="000000" w:fill="FCE4D6"/>
            <w:noWrap/>
            <w:vAlign w:val="center"/>
            <w:hideMark/>
          </w:tcPr>
          <w:p w14:paraId="3C0B780F" w14:textId="77777777" w:rsidR="00CB2DEA" w:rsidRPr="00CB2DEA" w:rsidRDefault="00CB2DEA" w:rsidP="00CB2DEA">
            <w:pPr>
              <w:spacing w:after="0"/>
              <w:jc w:val="center"/>
              <w:rPr>
                <w:b/>
                <w:bCs/>
              </w:rPr>
            </w:pPr>
            <w:r w:rsidRPr="00CB2DEA">
              <w:rPr>
                <w:b/>
                <w:bCs/>
              </w:rPr>
              <w:t>0,33%</w:t>
            </w:r>
          </w:p>
        </w:tc>
      </w:tr>
      <w:tr w:rsidR="00CB2DEA" w:rsidRPr="00CB2DEA" w14:paraId="0A97A2B7" w14:textId="77777777" w:rsidTr="00CB2DEA">
        <w:trPr>
          <w:trHeight w:val="315"/>
        </w:trPr>
        <w:tc>
          <w:tcPr>
            <w:tcW w:w="752" w:type="dxa"/>
            <w:tcBorders>
              <w:top w:val="nil"/>
              <w:left w:val="single" w:sz="8" w:space="0" w:color="FFFFFF"/>
              <w:bottom w:val="single" w:sz="8" w:space="0" w:color="FFFFFF"/>
              <w:right w:val="single" w:sz="8" w:space="0" w:color="FFFFFF"/>
            </w:tcBorders>
            <w:shd w:val="clear" w:color="000000" w:fill="F8CBAD"/>
            <w:noWrap/>
            <w:vAlign w:val="center"/>
            <w:hideMark/>
          </w:tcPr>
          <w:p w14:paraId="52956D89" w14:textId="77777777" w:rsidR="00CB2DEA" w:rsidRPr="00CB2DEA" w:rsidRDefault="00CB2DEA" w:rsidP="00CB2DEA">
            <w:pPr>
              <w:spacing w:after="0"/>
              <w:jc w:val="center"/>
              <w:rPr>
                <w:b/>
                <w:bCs/>
              </w:rPr>
            </w:pPr>
            <w:r w:rsidRPr="00CB2DEA">
              <w:rPr>
                <w:b/>
                <w:bCs/>
              </w:rPr>
              <w:t>3</w:t>
            </w:r>
          </w:p>
        </w:tc>
        <w:tc>
          <w:tcPr>
            <w:tcW w:w="4271" w:type="dxa"/>
            <w:tcBorders>
              <w:top w:val="nil"/>
              <w:left w:val="nil"/>
              <w:bottom w:val="single" w:sz="8" w:space="0" w:color="FFFFFF"/>
              <w:right w:val="single" w:sz="8" w:space="0" w:color="FFFFFF"/>
            </w:tcBorders>
            <w:shd w:val="clear" w:color="000000" w:fill="F8CBAD"/>
            <w:noWrap/>
            <w:vAlign w:val="center"/>
            <w:hideMark/>
          </w:tcPr>
          <w:p w14:paraId="49980732" w14:textId="77777777" w:rsidR="00CB2DEA" w:rsidRPr="00CB2DEA" w:rsidRDefault="00CB2DEA" w:rsidP="00CB2DEA">
            <w:pPr>
              <w:spacing w:after="0"/>
              <w:jc w:val="center"/>
              <w:rPr>
                <w:b/>
                <w:bCs/>
              </w:rPr>
            </w:pPr>
            <w:r w:rsidRPr="00CB2DEA">
              <w:rPr>
                <w:b/>
                <w:bCs/>
              </w:rPr>
              <w:t>Ukupni rashodi poslovanja:</w:t>
            </w:r>
          </w:p>
        </w:tc>
        <w:tc>
          <w:tcPr>
            <w:tcW w:w="2608" w:type="dxa"/>
            <w:tcBorders>
              <w:top w:val="nil"/>
              <w:left w:val="nil"/>
              <w:bottom w:val="single" w:sz="8" w:space="0" w:color="FFFFFF"/>
              <w:right w:val="single" w:sz="8" w:space="0" w:color="FFFFFF"/>
            </w:tcBorders>
            <w:shd w:val="clear" w:color="000000" w:fill="F8CBAD"/>
            <w:noWrap/>
            <w:vAlign w:val="center"/>
            <w:hideMark/>
          </w:tcPr>
          <w:p w14:paraId="6858EE9D" w14:textId="77777777" w:rsidR="00CB2DEA" w:rsidRPr="00CB2DEA" w:rsidRDefault="00CB2DEA" w:rsidP="00CB2DEA">
            <w:pPr>
              <w:spacing w:after="0"/>
              <w:jc w:val="center"/>
              <w:rPr>
                <w:b/>
                <w:bCs/>
              </w:rPr>
            </w:pPr>
            <w:r w:rsidRPr="00CB2DEA">
              <w:rPr>
                <w:b/>
                <w:bCs/>
              </w:rPr>
              <w:t>885.594,95 €</w:t>
            </w:r>
          </w:p>
        </w:tc>
        <w:tc>
          <w:tcPr>
            <w:tcW w:w="1719" w:type="dxa"/>
            <w:tcBorders>
              <w:top w:val="nil"/>
              <w:left w:val="nil"/>
              <w:bottom w:val="single" w:sz="8" w:space="0" w:color="FFFFFF"/>
              <w:right w:val="nil"/>
            </w:tcBorders>
            <w:shd w:val="clear" w:color="000000" w:fill="F8CBAD"/>
            <w:noWrap/>
            <w:vAlign w:val="bottom"/>
            <w:hideMark/>
          </w:tcPr>
          <w:p w14:paraId="36C6FAFE" w14:textId="77777777" w:rsidR="00CB2DEA" w:rsidRPr="00CB2DEA" w:rsidRDefault="00CB2DEA" w:rsidP="00CB2DEA">
            <w:pPr>
              <w:spacing w:after="0"/>
              <w:jc w:val="center"/>
              <w:rPr>
                <w:b/>
                <w:bCs/>
              </w:rPr>
            </w:pPr>
            <w:r w:rsidRPr="00CB2DEA">
              <w:rPr>
                <w:b/>
                <w:bCs/>
              </w:rPr>
              <w:t> </w:t>
            </w:r>
          </w:p>
        </w:tc>
      </w:tr>
      <w:tr w:rsidR="00CB2DEA" w:rsidRPr="00CB2DEA" w14:paraId="4FD2A259" w14:textId="77777777" w:rsidTr="00CB2DEA">
        <w:trPr>
          <w:trHeight w:val="315"/>
        </w:trPr>
        <w:tc>
          <w:tcPr>
            <w:tcW w:w="752" w:type="dxa"/>
            <w:tcBorders>
              <w:top w:val="nil"/>
              <w:left w:val="single" w:sz="8" w:space="0" w:color="FFFFFF"/>
              <w:bottom w:val="single" w:sz="8" w:space="0" w:color="FFFFFF"/>
              <w:right w:val="single" w:sz="8" w:space="0" w:color="FFFFFF"/>
            </w:tcBorders>
            <w:shd w:val="clear" w:color="000000" w:fill="FCE4D6"/>
            <w:noWrap/>
            <w:vAlign w:val="center"/>
            <w:hideMark/>
          </w:tcPr>
          <w:p w14:paraId="764A020C" w14:textId="77777777" w:rsidR="00CB2DEA" w:rsidRPr="00CB2DEA" w:rsidRDefault="00CB2DEA" w:rsidP="00CB2DEA">
            <w:pPr>
              <w:spacing w:after="0"/>
              <w:jc w:val="center"/>
              <w:rPr>
                <w:b/>
                <w:bCs/>
              </w:rPr>
            </w:pPr>
            <w:r w:rsidRPr="00CB2DEA">
              <w:rPr>
                <w:b/>
                <w:bCs/>
              </w:rPr>
              <w:t> </w:t>
            </w:r>
          </w:p>
        </w:tc>
        <w:tc>
          <w:tcPr>
            <w:tcW w:w="4271" w:type="dxa"/>
            <w:tcBorders>
              <w:top w:val="nil"/>
              <w:left w:val="nil"/>
              <w:bottom w:val="single" w:sz="8" w:space="0" w:color="FFFFFF"/>
              <w:right w:val="single" w:sz="8" w:space="0" w:color="FFFFFF"/>
            </w:tcBorders>
            <w:shd w:val="clear" w:color="000000" w:fill="FCE4D6"/>
            <w:noWrap/>
            <w:vAlign w:val="bottom"/>
            <w:hideMark/>
          </w:tcPr>
          <w:p w14:paraId="103D6FB6" w14:textId="77777777" w:rsidR="00CB2DEA" w:rsidRPr="00CB2DEA" w:rsidRDefault="00CB2DEA" w:rsidP="00CB2DEA">
            <w:pPr>
              <w:spacing w:after="0"/>
              <w:jc w:val="center"/>
              <w:rPr>
                <w:b/>
                <w:bCs/>
              </w:rPr>
            </w:pPr>
            <w:r w:rsidRPr="00CB2DEA">
              <w:rPr>
                <w:b/>
                <w:bCs/>
              </w:rPr>
              <w:t> </w:t>
            </w:r>
          </w:p>
        </w:tc>
        <w:tc>
          <w:tcPr>
            <w:tcW w:w="2608" w:type="dxa"/>
            <w:tcBorders>
              <w:top w:val="nil"/>
              <w:left w:val="nil"/>
              <w:bottom w:val="single" w:sz="8" w:space="0" w:color="FFFFFF"/>
              <w:right w:val="single" w:sz="8" w:space="0" w:color="FFFFFF"/>
            </w:tcBorders>
            <w:shd w:val="clear" w:color="000000" w:fill="FCE4D6"/>
            <w:noWrap/>
            <w:vAlign w:val="bottom"/>
            <w:hideMark/>
          </w:tcPr>
          <w:p w14:paraId="1FF35B95" w14:textId="77777777" w:rsidR="00CB2DEA" w:rsidRPr="00CB2DEA" w:rsidRDefault="00CB2DEA" w:rsidP="00CB2DEA">
            <w:pPr>
              <w:spacing w:after="0"/>
              <w:jc w:val="center"/>
              <w:rPr>
                <w:b/>
                <w:bCs/>
              </w:rPr>
            </w:pPr>
            <w:r w:rsidRPr="00CB2DEA">
              <w:rPr>
                <w:b/>
                <w:bCs/>
              </w:rPr>
              <w:t> </w:t>
            </w:r>
          </w:p>
        </w:tc>
        <w:tc>
          <w:tcPr>
            <w:tcW w:w="1719" w:type="dxa"/>
            <w:tcBorders>
              <w:top w:val="nil"/>
              <w:left w:val="nil"/>
              <w:bottom w:val="single" w:sz="8" w:space="0" w:color="FFFFFF"/>
              <w:right w:val="nil"/>
            </w:tcBorders>
            <w:shd w:val="clear" w:color="000000" w:fill="FCE4D6"/>
            <w:noWrap/>
            <w:vAlign w:val="bottom"/>
            <w:hideMark/>
          </w:tcPr>
          <w:p w14:paraId="560D1B06" w14:textId="77777777" w:rsidR="00CB2DEA" w:rsidRPr="00CB2DEA" w:rsidRDefault="00CB2DEA" w:rsidP="00CB2DEA">
            <w:pPr>
              <w:spacing w:after="0"/>
              <w:jc w:val="center"/>
              <w:rPr>
                <w:b/>
                <w:bCs/>
              </w:rPr>
            </w:pPr>
            <w:r w:rsidRPr="00CB2DEA">
              <w:rPr>
                <w:b/>
                <w:bCs/>
              </w:rPr>
              <w:t> </w:t>
            </w:r>
          </w:p>
        </w:tc>
      </w:tr>
      <w:tr w:rsidR="00CB2DEA" w:rsidRPr="00CB2DEA" w14:paraId="55C7767F" w14:textId="77777777" w:rsidTr="00CB2DEA">
        <w:trPr>
          <w:trHeight w:val="315"/>
        </w:trPr>
        <w:tc>
          <w:tcPr>
            <w:tcW w:w="752" w:type="dxa"/>
            <w:tcBorders>
              <w:top w:val="nil"/>
              <w:left w:val="single" w:sz="8" w:space="0" w:color="FFFFFF"/>
              <w:bottom w:val="single" w:sz="8" w:space="0" w:color="FFFFFF"/>
              <w:right w:val="single" w:sz="8" w:space="0" w:color="FFFFFF"/>
            </w:tcBorders>
            <w:shd w:val="clear" w:color="000000" w:fill="F8CBAD"/>
            <w:noWrap/>
            <w:vAlign w:val="center"/>
            <w:hideMark/>
          </w:tcPr>
          <w:p w14:paraId="5EAB231F" w14:textId="77777777" w:rsidR="00CB2DEA" w:rsidRPr="00CB2DEA" w:rsidRDefault="00CB2DEA" w:rsidP="00CB2DEA">
            <w:pPr>
              <w:spacing w:after="0"/>
              <w:jc w:val="center"/>
              <w:rPr>
                <w:b/>
                <w:bCs/>
              </w:rPr>
            </w:pPr>
            <w:r w:rsidRPr="00CB2DEA">
              <w:rPr>
                <w:b/>
                <w:bCs/>
              </w:rPr>
              <w:t>4</w:t>
            </w:r>
          </w:p>
        </w:tc>
        <w:tc>
          <w:tcPr>
            <w:tcW w:w="4271" w:type="dxa"/>
            <w:tcBorders>
              <w:top w:val="nil"/>
              <w:left w:val="nil"/>
              <w:bottom w:val="single" w:sz="8" w:space="0" w:color="FFFFFF"/>
              <w:right w:val="single" w:sz="8" w:space="0" w:color="FFFFFF"/>
            </w:tcBorders>
            <w:shd w:val="clear" w:color="000000" w:fill="F8CBAD"/>
            <w:noWrap/>
            <w:vAlign w:val="center"/>
            <w:hideMark/>
          </w:tcPr>
          <w:p w14:paraId="666F4097" w14:textId="77777777" w:rsidR="00CB2DEA" w:rsidRPr="00CB2DEA" w:rsidRDefault="00CB2DEA" w:rsidP="00CB2DEA">
            <w:pPr>
              <w:spacing w:after="0"/>
              <w:jc w:val="center"/>
              <w:rPr>
                <w:b/>
                <w:bCs/>
              </w:rPr>
            </w:pPr>
            <w:r w:rsidRPr="00CB2DEA">
              <w:rPr>
                <w:b/>
                <w:bCs/>
              </w:rPr>
              <w:t>RASHODI ZA NABAVU NEFINANCIJSKE IMOVINE</w:t>
            </w:r>
          </w:p>
        </w:tc>
        <w:tc>
          <w:tcPr>
            <w:tcW w:w="2608" w:type="dxa"/>
            <w:tcBorders>
              <w:top w:val="nil"/>
              <w:left w:val="nil"/>
              <w:bottom w:val="single" w:sz="8" w:space="0" w:color="FFFFFF"/>
              <w:right w:val="single" w:sz="8" w:space="0" w:color="FFFFFF"/>
            </w:tcBorders>
            <w:shd w:val="clear" w:color="000000" w:fill="F8CBAD"/>
            <w:noWrap/>
            <w:vAlign w:val="center"/>
            <w:hideMark/>
          </w:tcPr>
          <w:p w14:paraId="550DC303" w14:textId="77777777" w:rsidR="00CB2DEA" w:rsidRPr="00CB2DEA" w:rsidRDefault="00CB2DEA" w:rsidP="00CB2DEA">
            <w:pPr>
              <w:spacing w:after="0"/>
              <w:jc w:val="center"/>
              <w:rPr>
                <w:b/>
                <w:bCs/>
              </w:rPr>
            </w:pPr>
            <w:r w:rsidRPr="00CB2DEA">
              <w:rPr>
                <w:b/>
                <w:bCs/>
              </w:rPr>
              <w:t>35.241,76 €</w:t>
            </w:r>
          </w:p>
        </w:tc>
        <w:tc>
          <w:tcPr>
            <w:tcW w:w="1719" w:type="dxa"/>
            <w:tcBorders>
              <w:top w:val="nil"/>
              <w:left w:val="nil"/>
              <w:bottom w:val="single" w:sz="8" w:space="0" w:color="FFFFFF"/>
              <w:right w:val="nil"/>
            </w:tcBorders>
            <w:shd w:val="clear" w:color="000000" w:fill="F8CBAD"/>
            <w:noWrap/>
            <w:vAlign w:val="bottom"/>
            <w:hideMark/>
          </w:tcPr>
          <w:p w14:paraId="0BFF21FC" w14:textId="77777777" w:rsidR="00CB2DEA" w:rsidRPr="00CB2DEA" w:rsidRDefault="00CB2DEA" w:rsidP="00CB2DEA">
            <w:pPr>
              <w:spacing w:after="0"/>
              <w:jc w:val="center"/>
              <w:rPr>
                <w:b/>
                <w:bCs/>
              </w:rPr>
            </w:pPr>
            <w:r w:rsidRPr="00CB2DEA">
              <w:rPr>
                <w:b/>
                <w:bCs/>
              </w:rPr>
              <w:t>3,83%</w:t>
            </w:r>
          </w:p>
        </w:tc>
      </w:tr>
      <w:tr w:rsidR="00CB2DEA" w:rsidRPr="00CB2DEA" w14:paraId="77796678" w14:textId="77777777" w:rsidTr="00CB2DEA">
        <w:trPr>
          <w:trHeight w:val="525"/>
        </w:trPr>
        <w:tc>
          <w:tcPr>
            <w:tcW w:w="752" w:type="dxa"/>
            <w:tcBorders>
              <w:top w:val="nil"/>
              <w:left w:val="single" w:sz="8" w:space="0" w:color="FFFFFF"/>
              <w:bottom w:val="single" w:sz="8" w:space="0" w:color="FFFFFF"/>
              <w:right w:val="single" w:sz="8" w:space="0" w:color="FFFFFF"/>
            </w:tcBorders>
            <w:shd w:val="clear" w:color="000000" w:fill="FCE4D6"/>
            <w:noWrap/>
            <w:vAlign w:val="center"/>
            <w:hideMark/>
          </w:tcPr>
          <w:p w14:paraId="6019B795" w14:textId="77777777" w:rsidR="00CB2DEA" w:rsidRPr="00CB2DEA" w:rsidRDefault="00CB2DEA" w:rsidP="00CB2DEA">
            <w:pPr>
              <w:spacing w:after="0"/>
              <w:jc w:val="center"/>
              <w:rPr>
                <w:b/>
                <w:bCs/>
              </w:rPr>
            </w:pPr>
            <w:r w:rsidRPr="00CB2DEA">
              <w:rPr>
                <w:b/>
                <w:bCs/>
              </w:rPr>
              <w:t>41</w:t>
            </w:r>
          </w:p>
        </w:tc>
        <w:tc>
          <w:tcPr>
            <w:tcW w:w="4271" w:type="dxa"/>
            <w:tcBorders>
              <w:top w:val="nil"/>
              <w:left w:val="nil"/>
              <w:bottom w:val="single" w:sz="8" w:space="0" w:color="FFFFFF"/>
              <w:right w:val="single" w:sz="8" w:space="0" w:color="FFFFFF"/>
            </w:tcBorders>
            <w:shd w:val="clear" w:color="000000" w:fill="FCE4D6"/>
            <w:vAlign w:val="center"/>
            <w:hideMark/>
          </w:tcPr>
          <w:p w14:paraId="55A4B9FA" w14:textId="0D8A0EE5" w:rsidR="00CB2DEA" w:rsidRPr="00CB2DEA" w:rsidRDefault="00CB2DEA" w:rsidP="00CB2DEA">
            <w:pPr>
              <w:spacing w:after="0"/>
              <w:jc w:val="center"/>
              <w:rPr>
                <w:b/>
                <w:bCs/>
              </w:rPr>
            </w:pPr>
            <w:r w:rsidRPr="00CB2DEA">
              <w:rPr>
                <w:b/>
                <w:bCs/>
              </w:rPr>
              <w:t>Rashodi za nabavu ne</w:t>
            </w:r>
            <w:r w:rsidR="00E26800">
              <w:rPr>
                <w:b/>
                <w:bCs/>
              </w:rPr>
              <w:t xml:space="preserve"> </w:t>
            </w:r>
            <w:r w:rsidRPr="00CB2DEA">
              <w:rPr>
                <w:b/>
                <w:bCs/>
              </w:rPr>
              <w:t>proizvedene dugotrajne imovine</w:t>
            </w:r>
          </w:p>
        </w:tc>
        <w:tc>
          <w:tcPr>
            <w:tcW w:w="2608" w:type="dxa"/>
            <w:tcBorders>
              <w:top w:val="nil"/>
              <w:left w:val="nil"/>
              <w:bottom w:val="single" w:sz="8" w:space="0" w:color="FFFFFF"/>
              <w:right w:val="single" w:sz="8" w:space="0" w:color="FFFFFF"/>
            </w:tcBorders>
            <w:shd w:val="clear" w:color="000000" w:fill="FCE4D6"/>
            <w:noWrap/>
            <w:vAlign w:val="center"/>
            <w:hideMark/>
          </w:tcPr>
          <w:p w14:paraId="2B7F8669" w14:textId="77777777" w:rsidR="00CB2DEA" w:rsidRPr="00CB2DEA" w:rsidRDefault="00CB2DEA" w:rsidP="00CB2DEA">
            <w:pPr>
              <w:spacing w:after="0"/>
              <w:jc w:val="center"/>
              <w:rPr>
                <w:b/>
                <w:bCs/>
              </w:rPr>
            </w:pPr>
            <w:r w:rsidRPr="00CB2DEA">
              <w:rPr>
                <w:b/>
                <w:bCs/>
              </w:rPr>
              <w:t>8.210,75 €</w:t>
            </w:r>
          </w:p>
        </w:tc>
        <w:tc>
          <w:tcPr>
            <w:tcW w:w="1719" w:type="dxa"/>
            <w:tcBorders>
              <w:top w:val="nil"/>
              <w:left w:val="nil"/>
              <w:bottom w:val="single" w:sz="8" w:space="0" w:color="FFFFFF"/>
              <w:right w:val="nil"/>
            </w:tcBorders>
            <w:shd w:val="clear" w:color="000000" w:fill="FCE4D6"/>
            <w:noWrap/>
            <w:vAlign w:val="center"/>
            <w:hideMark/>
          </w:tcPr>
          <w:p w14:paraId="565434C6" w14:textId="77777777" w:rsidR="00CB2DEA" w:rsidRPr="00CB2DEA" w:rsidRDefault="00CB2DEA" w:rsidP="00CB2DEA">
            <w:pPr>
              <w:spacing w:after="0"/>
              <w:jc w:val="center"/>
              <w:rPr>
                <w:b/>
                <w:bCs/>
              </w:rPr>
            </w:pPr>
            <w:r w:rsidRPr="00CB2DEA">
              <w:rPr>
                <w:b/>
                <w:bCs/>
              </w:rPr>
              <w:t>23,30%</w:t>
            </w:r>
          </w:p>
        </w:tc>
      </w:tr>
      <w:tr w:rsidR="00CB2DEA" w:rsidRPr="00CB2DEA" w14:paraId="205AACE8" w14:textId="77777777" w:rsidTr="00CB2DEA">
        <w:trPr>
          <w:trHeight w:val="315"/>
        </w:trPr>
        <w:tc>
          <w:tcPr>
            <w:tcW w:w="752" w:type="dxa"/>
            <w:tcBorders>
              <w:top w:val="nil"/>
              <w:left w:val="single" w:sz="8" w:space="0" w:color="FFFFFF"/>
              <w:bottom w:val="single" w:sz="8" w:space="0" w:color="FFFFFF"/>
              <w:right w:val="single" w:sz="8" w:space="0" w:color="FFFFFF"/>
            </w:tcBorders>
            <w:shd w:val="clear" w:color="000000" w:fill="F8CBAD"/>
            <w:noWrap/>
            <w:vAlign w:val="center"/>
            <w:hideMark/>
          </w:tcPr>
          <w:p w14:paraId="075D01EF" w14:textId="77777777" w:rsidR="00CB2DEA" w:rsidRPr="00CB2DEA" w:rsidRDefault="00CB2DEA" w:rsidP="00CB2DEA">
            <w:pPr>
              <w:spacing w:after="0"/>
              <w:jc w:val="center"/>
              <w:rPr>
                <w:b/>
                <w:bCs/>
              </w:rPr>
            </w:pPr>
            <w:r w:rsidRPr="00CB2DEA">
              <w:rPr>
                <w:b/>
                <w:bCs/>
              </w:rPr>
              <w:t>412</w:t>
            </w:r>
          </w:p>
        </w:tc>
        <w:tc>
          <w:tcPr>
            <w:tcW w:w="4271" w:type="dxa"/>
            <w:tcBorders>
              <w:top w:val="nil"/>
              <w:left w:val="nil"/>
              <w:bottom w:val="single" w:sz="8" w:space="0" w:color="FFFFFF"/>
              <w:right w:val="single" w:sz="8" w:space="0" w:color="FFFFFF"/>
            </w:tcBorders>
            <w:shd w:val="clear" w:color="000000" w:fill="F8CBAD"/>
            <w:noWrap/>
            <w:vAlign w:val="center"/>
            <w:hideMark/>
          </w:tcPr>
          <w:p w14:paraId="161FD683" w14:textId="77777777" w:rsidR="00CB2DEA" w:rsidRPr="00CB2DEA" w:rsidRDefault="00CB2DEA" w:rsidP="00CB2DEA">
            <w:pPr>
              <w:spacing w:after="0"/>
              <w:jc w:val="center"/>
              <w:rPr>
                <w:b/>
                <w:bCs/>
              </w:rPr>
            </w:pPr>
            <w:r w:rsidRPr="00CB2DEA">
              <w:rPr>
                <w:b/>
                <w:bCs/>
              </w:rPr>
              <w:t>Nematerijalna imovina</w:t>
            </w:r>
          </w:p>
        </w:tc>
        <w:tc>
          <w:tcPr>
            <w:tcW w:w="2608" w:type="dxa"/>
            <w:tcBorders>
              <w:top w:val="nil"/>
              <w:left w:val="nil"/>
              <w:bottom w:val="single" w:sz="8" w:space="0" w:color="FFFFFF"/>
              <w:right w:val="single" w:sz="8" w:space="0" w:color="FFFFFF"/>
            </w:tcBorders>
            <w:shd w:val="clear" w:color="000000" w:fill="F8CBAD"/>
            <w:noWrap/>
            <w:vAlign w:val="center"/>
            <w:hideMark/>
          </w:tcPr>
          <w:p w14:paraId="5E752B44" w14:textId="77777777" w:rsidR="00CB2DEA" w:rsidRPr="00CB2DEA" w:rsidRDefault="00CB2DEA" w:rsidP="00CB2DEA">
            <w:pPr>
              <w:spacing w:after="0"/>
              <w:jc w:val="center"/>
              <w:rPr>
                <w:b/>
                <w:bCs/>
              </w:rPr>
            </w:pPr>
            <w:r w:rsidRPr="00CB2DEA">
              <w:rPr>
                <w:b/>
                <w:bCs/>
              </w:rPr>
              <w:t>8.210,75 €</w:t>
            </w:r>
          </w:p>
        </w:tc>
        <w:tc>
          <w:tcPr>
            <w:tcW w:w="1719" w:type="dxa"/>
            <w:tcBorders>
              <w:top w:val="nil"/>
              <w:left w:val="nil"/>
              <w:bottom w:val="single" w:sz="8" w:space="0" w:color="FFFFFF"/>
              <w:right w:val="nil"/>
            </w:tcBorders>
            <w:shd w:val="clear" w:color="000000" w:fill="F8CBAD"/>
            <w:noWrap/>
            <w:vAlign w:val="bottom"/>
            <w:hideMark/>
          </w:tcPr>
          <w:p w14:paraId="5009BB13" w14:textId="77777777" w:rsidR="00CB2DEA" w:rsidRPr="00CB2DEA" w:rsidRDefault="00CB2DEA" w:rsidP="00CB2DEA">
            <w:pPr>
              <w:spacing w:after="0"/>
              <w:jc w:val="center"/>
              <w:rPr>
                <w:b/>
                <w:bCs/>
              </w:rPr>
            </w:pPr>
            <w:r w:rsidRPr="00CB2DEA">
              <w:rPr>
                <w:b/>
                <w:bCs/>
              </w:rPr>
              <w:t>23,30%</w:t>
            </w:r>
          </w:p>
        </w:tc>
      </w:tr>
      <w:tr w:rsidR="00CB2DEA" w:rsidRPr="00CB2DEA" w14:paraId="30B42AF7" w14:textId="77777777" w:rsidTr="00CB2DEA">
        <w:trPr>
          <w:trHeight w:val="315"/>
        </w:trPr>
        <w:tc>
          <w:tcPr>
            <w:tcW w:w="752" w:type="dxa"/>
            <w:tcBorders>
              <w:top w:val="nil"/>
              <w:left w:val="single" w:sz="8" w:space="0" w:color="FFFFFF"/>
              <w:bottom w:val="single" w:sz="8" w:space="0" w:color="FFFFFF"/>
              <w:right w:val="single" w:sz="8" w:space="0" w:color="FFFFFF"/>
            </w:tcBorders>
            <w:shd w:val="clear" w:color="000000" w:fill="FCE4D6"/>
            <w:noWrap/>
            <w:vAlign w:val="center"/>
            <w:hideMark/>
          </w:tcPr>
          <w:p w14:paraId="51A8146D" w14:textId="77777777" w:rsidR="00CB2DEA" w:rsidRPr="00CB2DEA" w:rsidRDefault="00CB2DEA" w:rsidP="00CB2DEA">
            <w:pPr>
              <w:spacing w:after="0"/>
              <w:jc w:val="center"/>
              <w:rPr>
                <w:b/>
                <w:bCs/>
              </w:rPr>
            </w:pPr>
            <w:r w:rsidRPr="00CB2DEA">
              <w:rPr>
                <w:b/>
                <w:bCs/>
              </w:rPr>
              <w:t>42</w:t>
            </w:r>
          </w:p>
        </w:tc>
        <w:tc>
          <w:tcPr>
            <w:tcW w:w="4271" w:type="dxa"/>
            <w:tcBorders>
              <w:top w:val="nil"/>
              <w:left w:val="nil"/>
              <w:bottom w:val="single" w:sz="8" w:space="0" w:color="FFFFFF"/>
              <w:right w:val="single" w:sz="8" w:space="0" w:color="FFFFFF"/>
            </w:tcBorders>
            <w:shd w:val="clear" w:color="000000" w:fill="FCE4D6"/>
            <w:noWrap/>
            <w:vAlign w:val="center"/>
            <w:hideMark/>
          </w:tcPr>
          <w:p w14:paraId="382472C3" w14:textId="77777777" w:rsidR="00CB2DEA" w:rsidRPr="00CB2DEA" w:rsidRDefault="00CB2DEA" w:rsidP="00CB2DEA">
            <w:pPr>
              <w:spacing w:after="0"/>
              <w:jc w:val="center"/>
              <w:rPr>
                <w:b/>
                <w:bCs/>
              </w:rPr>
            </w:pPr>
            <w:r w:rsidRPr="00CB2DEA">
              <w:rPr>
                <w:b/>
                <w:bCs/>
              </w:rPr>
              <w:t>Rashodi za nabavu proizvedene dugotrajne imovine</w:t>
            </w:r>
          </w:p>
        </w:tc>
        <w:tc>
          <w:tcPr>
            <w:tcW w:w="2608" w:type="dxa"/>
            <w:tcBorders>
              <w:top w:val="nil"/>
              <w:left w:val="nil"/>
              <w:bottom w:val="single" w:sz="8" w:space="0" w:color="FFFFFF"/>
              <w:right w:val="single" w:sz="8" w:space="0" w:color="FFFFFF"/>
            </w:tcBorders>
            <w:shd w:val="clear" w:color="000000" w:fill="FCE4D6"/>
            <w:noWrap/>
            <w:vAlign w:val="center"/>
            <w:hideMark/>
          </w:tcPr>
          <w:p w14:paraId="69538285" w14:textId="77777777" w:rsidR="00CB2DEA" w:rsidRPr="00CB2DEA" w:rsidRDefault="00CB2DEA" w:rsidP="00CB2DEA">
            <w:pPr>
              <w:spacing w:after="0"/>
              <w:jc w:val="center"/>
              <w:rPr>
                <w:b/>
                <w:bCs/>
              </w:rPr>
            </w:pPr>
            <w:r w:rsidRPr="00CB2DEA">
              <w:rPr>
                <w:b/>
                <w:bCs/>
              </w:rPr>
              <w:t>27.031,01 €</w:t>
            </w:r>
          </w:p>
        </w:tc>
        <w:tc>
          <w:tcPr>
            <w:tcW w:w="1719" w:type="dxa"/>
            <w:tcBorders>
              <w:top w:val="nil"/>
              <w:left w:val="nil"/>
              <w:bottom w:val="single" w:sz="8" w:space="0" w:color="FFFFFF"/>
              <w:right w:val="nil"/>
            </w:tcBorders>
            <w:shd w:val="clear" w:color="000000" w:fill="FCE4D6"/>
            <w:noWrap/>
            <w:vAlign w:val="center"/>
            <w:hideMark/>
          </w:tcPr>
          <w:p w14:paraId="43C326CC" w14:textId="77777777" w:rsidR="00CB2DEA" w:rsidRPr="00CB2DEA" w:rsidRDefault="00CB2DEA" w:rsidP="00CB2DEA">
            <w:pPr>
              <w:spacing w:after="0"/>
              <w:jc w:val="center"/>
              <w:rPr>
                <w:b/>
                <w:bCs/>
              </w:rPr>
            </w:pPr>
            <w:r w:rsidRPr="00CB2DEA">
              <w:rPr>
                <w:b/>
                <w:bCs/>
              </w:rPr>
              <w:t>100,00%</w:t>
            </w:r>
          </w:p>
        </w:tc>
      </w:tr>
      <w:tr w:rsidR="00CB2DEA" w:rsidRPr="00CB2DEA" w14:paraId="5509C9AE" w14:textId="77777777" w:rsidTr="00CB2DEA">
        <w:trPr>
          <w:trHeight w:val="315"/>
        </w:trPr>
        <w:tc>
          <w:tcPr>
            <w:tcW w:w="752" w:type="dxa"/>
            <w:tcBorders>
              <w:top w:val="nil"/>
              <w:left w:val="single" w:sz="8" w:space="0" w:color="FFFFFF"/>
              <w:bottom w:val="single" w:sz="8" w:space="0" w:color="FFFFFF"/>
              <w:right w:val="single" w:sz="8" w:space="0" w:color="FFFFFF"/>
            </w:tcBorders>
            <w:shd w:val="clear" w:color="000000" w:fill="F8CBAD"/>
            <w:noWrap/>
            <w:vAlign w:val="center"/>
            <w:hideMark/>
          </w:tcPr>
          <w:p w14:paraId="0AE10AD1" w14:textId="77777777" w:rsidR="00CB2DEA" w:rsidRPr="00CB2DEA" w:rsidRDefault="00CB2DEA" w:rsidP="00CB2DEA">
            <w:pPr>
              <w:spacing w:after="0"/>
              <w:jc w:val="center"/>
              <w:rPr>
                <w:b/>
                <w:bCs/>
              </w:rPr>
            </w:pPr>
            <w:r w:rsidRPr="00CB2DEA">
              <w:rPr>
                <w:b/>
                <w:bCs/>
              </w:rPr>
              <w:t>422</w:t>
            </w:r>
          </w:p>
        </w:tc>
        <w:tc>
          <w:tcPr>
            <w:tcW w:w="4271" w:type="dxa"/>
            <w:tcBorders>
              <w:top w:val="nil"/>
              <w:left w:val="nil"/>
              <w:bottom w:val="single" w:sz="8" w:space="0" w:color="FFFFFF"/>
              <w:right w:val="single" w:sz="8" w:space="0" w:color="FFFFFF"/>
            </w:tcBorders>
            <w:shd w:val="clear" w:color="000000" w:fill="F8CBAD"/>
            <w:noWrap/>
            <w:vAlign w:val="center"/>
            <w:hideMark/>
          </w:tcPr>
          <w:p w14:paraId="7668B988" w14:textId="77777777" w:rsidR="00CB2DEA" w:rsidRPr="00CB2DEA" w:rsidRDefault="00CB2DEA" w:rsidP="00CB2DEA">
            <w:pPr>
              <w:spacing w:after="0"/>
              <w:jc w:val="center"/>
              <w:rPr>
                <w:b/>
                <w:bCs/>
              </w:rPr>
            </w:pPr>
            <w:r w:rsidRPr="00CB2DEA">
              <w:rPr>
                <w:b/>
                <w:bCs/>
              </w:rPr>
              <w:t>· Postrojenje i oprema</w:t>
            </w:r>
          </w:p>
        </w:tc>
        <w:tc>
          <w:tcPr>
            <w:tcW w:w="2608" w:type="dxa"/>
            <w:tcBorders>
              <w:top w:val="nil"/>
              <w:left w:val="nil"/>
              <w:bottom w:val="single" w:sz="8" w:space="0" w:color="FFFFFF"/>
              <w:right w:val="single" w:sz="8" w:space="0" w:color="FFFFFF"/>
            </w:tcBorders>
            <w:shd w:val="clear" w:color="000000" w:fill="F8CBAD"/>
            <w:noWrap/>
            <w:vAlign w:val="center"/>
            <w:hideMark/>
          </w:tcPr>
          <w:p w14:paraId="2AA28CCB" w14:textId="77777777" w:rsidR="00CB2DEA" w:rsidRPr="00CB2DEA" w:rsidRDefault="00CB2DEA" w:rsidP="00CB2DEA">
            <w:pPr>
              <w:spacing w:after="0"/>
              <w:jc w:val="center"/>
              <w:rPr>
                <w:b/>
                <w:bCs/>
              </w:rPr>
            </w:pPr>
            <w:r w:rsidRPr="00CB2DEA">
              <w:rPr>
                <w:b/>
                <w:bCs/>
              </w:rPr>
              <w:t>27.031,01 €</w:t>
            </w:r>
          </w:p>
        </w:tc>
        <w:tc>
          <w:tcPr>
            <w:tcW w:w="1719" w:type="dxa"/>
            <w:tcBorders>
              <w:top w:val="nil"/>
              <w:left w:val="nil"/>
              <w:bottom w:val="single" w:sz="8" w:space="0" w:color="FFFFFF"/>
              <w:right w:val="nil"/>
            </w:tcBorders>
            <w:shd w:val="clear" w:color="000000" w:fill="F8CBAD"/>
            <w:noWrap/>
            <w:vAlign w:val="center"/>
            <w:hideMark/>
          </w:tcPr>
          <w:p w14:paraId="39002149" w14:textId="77777777" w:rsidR="00CB2DEA" w:rsidRPr="00CB2DEA" w:rsidRDefault="00CB2DEA" w:rsidP="00CB2DEA">
            <w:pPr>
              <w:spacing w:after="0"/>
              <w:jc w:val="center"/>
              <w:rPr>
                <w:b/>
                <w:bCs/>
              </w:rPr>
            </w:pPr>
            <w:r w:rsidRPr="00CB2DEA">
              <w:rPr>
                <w:b/>
                <w:bCs/>
              </w:rPr>
              <w:t>76,70%</w:t>
            </w:r>
          </w:p>
        </w:tc>
      </w:tr>
      <w:tr w:rsidR="00CB2DEA" w:rsidRPr="00CB2DEA" w14:paraId="66BB2F46" w14:textId="77777777" w:rsidTr="00CB2DEA">
        <w:trPr>
          <w:trHeight w:val="240"/>
        </w:trPr>
        <w:tc>
          <w:tcPr>
            <w:tcW w:w="752" w:type="dxa"/>
            <w:tcBorders>
              <w:top w:val="nil"/>
              <w:left w:val="single" w:sz="8" w:space="0" w:color="FFFFFF"/>
              <w:bottom w:val="single" w:sz="8" w:space="0" w:color="FFFFFF"/>
              <w:right w:val="single" w:sz="8" w:space="0" w:color="FFFFFF"/>
            </w:tcBorders>
            <w:shd w:val="clear" w:color="000000" w:fill="FCE4D6"/>
            <w:noWrap/>
            <w:vAlign w:val="center"/>
            <w:hideMark/>
          </w:tcPr>
          <w:p w14:paraId="738B0215" w14:textId="77777777" w:rsidR="00CB2DEA" w:rsidRPr="00CB2DEA" w:rsidRDefault="00CB2DEA" w:rsidP="00CB2DEA">
            <w:pPr>
              <w:spacing w:after="0"/>
              <w:jc w:val="center"/>
              <w:rPr>
                <w:b/>
                <w:bCs/>
              </w:rPr>
            </w:pPr>
            <w:r w:rsidRPr="00CB2DEA">
              <w:rPr>
                <w:b/>
                <w:bCs/>
              </w:rPr>
              <w:lastRenderedPageBreak/>
              <w:t>4</w:t>
            </w:r>
          </w:p>
        </w:tc>
        <w:tc>
          <w:tcPr>
            <w:tcW w:w="4271" w:type="dxa"/>
            <w:tcBorders>
              <w:top w:val="nil"/>
              <w:left w:val="nil"/>
              <w:bottom w:val="single" w:sz="8" w:space="0" w:color="FFFFFF"/>
              <w:right w:val="single" w:sz="8" w:space="0" w:color="FFFFFF"/>
            </w:tcBorders>
            <w:shd w:val="clear" w:color="000000" w:fill="FCE4D6"/>
            <w:noWrap/>
            <w:vAlign w:val="center"/>
            <w:hideMark/>
          </w:tcPr>
          <w:p w14:paraId="36DBD2B8" w14:textId="77777777" w:rsidR="00CB2DEA" w:rsidRPr="00CB2DEA" w:rsidRDefault="00CB2DEA" w:rsidP="00CB2DEA">
            <w:pPr>
              <w:spacing w:after="0"/>
              <w:jc w:val="center"/>
              <w:rPr>
                <w:b/>
                <w:bCs/>
              </w:rPr>
            </w:pPr>
            <w:r w:rsidRPr="00CB2DEA">
              <w:rPr>
                <w:b/>
                <w:bCs/>
              </w:rPr>
              <w:t>Ukupni rashodi za nabavu nefinancijske imovine</w:t>
            </w:r>
          </w:p>
        </w:tc>
        <w:tc>
          <w:tcPr>
            <w:tcW w:w="2608" w:type="dxa"/>
            <w:tcBorders>
              <w:top w:val="nil"/>
              <w:left w:val="nil"/>
              <w:bottom w:val="single" w:sz="8" w:space="0" w:color="FFFFFF"/>
              <w:right w:val="single" w:sz="8" w:space="0" w:color="FFFFFF"/>
            </w:tcBorders>
            <w:shd w:val="clear" w:color="000000" w:fill="FCE4D6"/>
            <w:noWrap/>
            <w:vAlign w:val="center"/>
            <w:hideMark/>
          </w:tcPr>
          <w:p w14:paraId="2A2FB6AF" w14:textId="77777777" w:rsidR="00CB2DEA" w:rsidRPr="00CB2DEA" w:rsidRDefault="00CB2DEA" w:rsidP="00CB2DEA">
            <w:pPr>
              <w:spacing w:after="0"/>
              <w:jc w:val="center"/>
              <w:rPr>
                <w:b/>
                <w:bCs/>
              </w:rPr>
            </w:pPr>
            <w:r w:rsidRPr="00CB2DEA">
              <w:rPr>
                <w:b/>
                <w:bCs/>
              </w:rPr>
              <w:t>35.241,76 €</w:t>
            </w:r>
          </w:p>
        </w:tc>
        <w:tc>
          <w:tcPr>
            <w:tcW w:w="1719" w:type="dxa"/>
            <w:tcBorders>
              <w:top w:val="nil"/>
              <w:left w:val="nil"/>
              <w:bottom w:val="single" w:sz="8" w:space="0" w:color="FFFFFF"/>
              <w:right w:val="nil"/>
            </w:tcBorders>
            <w:shd w:val="clear" w:color="000000" w:fill="FCE4D6"/>
            <w:noWrap/>
            <w:vAlign w:val="bottom"/>
            <w:hideMark/>
          </w:tcPr>
          <w:p w14:paraId="03802940" w14:textId="77777777" w:rsidR="00CB2DEA" w:rsidRPr="00CB2DEA" w:rsidRDefault="00CB2DEA" w:rsidP="00CB2DEA">
            <w:pPr>
              <w:spacing w:after="0"/>
              <w:jc w:val="center"/>
              <w:rPr>
                <w:b/>
                <w:bCs/>
              </w:rPr>
            </w:pPr>
            <w:r w:rsidRPr="00CB2DEA">
              <w:rPr>
                <w:b/>
                <w:bCs/>
              </w:rPr>
              <w:t> </w:t>
            </w:r>
          </w:p>
        </w:tc>
      </w:tr>
      <w:tr w:rsidR="00CB2DEA" w:rsidRPr="00CB2DEA" w14:paraId="67BA2AC2" w14:textId="77777777" w:rsidTr="00CB2DEA">
        <w:trPr>
          <w:trHeight w:val="315"/>
        </w:trPr>
        <w:tc>
          <w:tcPr>
            <w:tcW w:w="752" w:type="dxa"/>
            <w:tcBorders>
              <w:top w:val="nil"/>
              <w:left w:val="single" w:sz="8" w:space="0" w:color="FFFFFF"/>
              <w:bottom w:val="single" w:sz="8" w:space="0" w:color="FFFFFF"/>
              <w:right w:val="single" w:sz="8" w:space="0" w:color="FFFFFF"/>
            </w:tcBorders>
            <w:shd w:val="clear" w:color="000000" w:fill="F8CBAD"/>
            <w:noWrap/>
            <w:vAlign w:val="center"/>
            <w:hideMark/>
          </w:tcPr>
          <w:p w14:paraId="36118505" w14:textId="77777777" w:rsidR="00CB2DEA" w:rsidRPr="00CB2DEA" w:rsidRDefault="00CB2DEA" w:rsidP="00CB2DEA">
            <w:pPr>
              <w:spacing w:after="0"/>
              <w:jc w:val="center"/>
              <w:rPr>
                <w:b/>
                <w:bCs/>
              </w:rPr>
            </w:pPr>
            <w:r w:rsidRPr="00CB2DEA">
              <w:rPr>
                <w:b/>
                <w:bCs/>
              </w:rPr>
              <w:t> </w:t>
            </w:r>
          </w:p>
        </w:tc>
        <w:tc>
          <w:tcPr>
            <w:tcW w:w="4271" w:type="dxa"/>
            <w:tcBorders>
              <w:top w:val="nil"/>
              <w:left w:val="nil"/>
              <w:bottom w:val="single" w:sz="8" w:space="0" w:color="FFFFFF"/>
              <w:right w:val="single" w:sz="8" w:space="0" w:color="FFFFFF"/>
            </w:tcBorders>
            <w:shd w:val="clear" w:color="000000" w:fill="F8CBAD"/>
            <w:noWrap/>
            <w:vAlign w:val="center"/>
            <w:hideMark/>
          </w:tcPr>
          <w:p w14:paraId="5928DC91" w14:textId="77777777" w:rsidR="00CB2DEA" w:rsidRPr="00CB2DEA" w:rsidRDefault="00CB2DEA" w:rsidP="00CB2DEA">
            <w:pPr>
              <w:spacing w:after="0"/>
              <w:jc w:val="center"/>
              <w:rPr>
                <w:b/>
                <w:bCs/>
              </w:rPr>
            </w:pPr>
            <w:r w:rsidRPr="00CB2DEA">
              <w:rPr>
                <w:b/>
                <w:bCs/>
              </w:rPr>
              <w:t>UKUPNI RASHODI I IZDACI</w:t>
            </w:r>
          </w:p>
        </w:tc>
        <w:tc>
          <w:tcPr>
            <w:tcW w:w="2608" w:type="dxa"/>
            <w:tcBorders>
              <w:top w:val="nil"/>
              <w:left w:val="nil"/>
              <w:bottom w:val="single" w:sz="8" w:space="0" w:color="FFFFFF"/>
              <w:right w:val="single" w:sz="8" w:space="0" w:color="FFFFFF"/>
            </w:tcBorders>
            <w:shd w:val="clear" w:color="000000" w:fill="F8CBAD"/>
            <w:noWrap/>
            <w:vAlign w:val="center"/>
            <w:hideMark/>
          </w:tcPr>
          <w:p w14:paraId="0FA29905" w14:textId="77777777" w:rsidR="00CB2DEA" w:rsidRPr="00CB2DEA" w:rsidRDefault="00CB2DEA" w:rsidP="00CB2DEA">
            <w:pPr>
              <w:spacing w:after="0"/>
              <w:jc w:val="center"/>
              <w:rPr>
                <w:b/>
                <w:bCs/>
              </w:rPr>
            </w:pPr>
            <w:r w:rsidRPr="00CB2DEA">
              <w:rPr>
                <w:b/>
                <w:bCs/>
              </w:rPr>
              <w:t>920.836,71 €</w:t>
            </w:r>
          </w:p>
        </w:tc>
        <w:tc>
          <w:tcPr>
            <w:tcW w:w="1719" w:type="dxa"/>
            <w:tcBorders>
              <w:top w:val="nil"/>
              <w:left w:val="nil"/>
              <w:bottom w:val="single" w:sz="8" w:space="0" w:color="FFFFFF"/>
              <w:right w:val="nil"/>
            </w:tcBorders>
            <w:shd w:val="clear" w:color="000000" w:fill="F8CBAD"/>
            <w:noWrap/>
            <w:vAlign w:val="bottom"/>
            <w:hideMark/>
          </w:tcPr>
          <w:p w14:paraId="6BD50F55" w14:textId="77777777" w:rsidR="00CB2DEA" w:rsidRPr="00CB2DEA" w:rsidRDefault="00CB2DEA" w:rsidP="00CB2DEA">
            <w:pPr>
              <w:spacing w:after="0"/>
              <w:jc w:val="center"/>
              <w:rPr>
                <w:b/>
                <w:bCs/>
              </w:rPr>
            </w:pPr>
            <w:r w:rsidRPr="00CB2DEA">
              <w:rPr>
                <w:b/>
                <w:bCs/>
              </w:rPr>
              <w:t> </w:t>
            </w:r>
          </w:p>
        </w:tc>
      </w:tr>
    </w:tbl>
    <w:p w14:paraId="32BE1C47" w14:textId="77777777" w:rsidR="00A64FE5" w:rsidRDefault="00A64FE5" w:rsidP="00D43507">
      <w:pPr>
        <w:spacing w:after="0"/>
        <w:jc w:val="center"/>
        <w:rPr>
          <w:b/>
          <w:bCs/>
        </w:rPr>
      </w:pPr>
    </w:p>
    <w:p w14:paraId="057BF9E8" w14:textId="77777777" w:rsidR="00A64FE5" w:rsidRDefault="00A64FE5" w:rsidP="00D43507">
      <w:pPr>
        <w:spacing w:after="0"/>
        <w:jc w:val="center"/>
        <w:rPr>
          <w:b/>
          <w:bCs/>
        </w:rPr>
      </w:pPr>
    </w:p>
    <w:p w14:paraId="2320E172" w14:textId="77777777" w:rsidR="00A64FE5" w:rsidRDefault="00A64FE5" w:rsidP="00D43507">
      <w:pPr>
        <w:spacing w:after="0"/>
        <w:jc w:val="center"/>
        <w:rPr>
          <w:b/>
          <w:bCs/>
        </w:rPr>
      </w:pPr>
    </w:p>
    <w:p w14:paraId="1AFA57C0" w14:textId="77777777" w:rsidR="00A64FE5" w:rsidRDefault="00A64FE5" w:rsidP="00D43507">
      <w:pPr>
        <w:spacing w:after="0"/>
        <w:jc w:val="center"/>
        <w:rPr>
          <w:b/>
          <w:bCs/>
        </w:rPr>
      </w:pPr>
    </w:p>
    <w:p w14:paraId="0D586A8D" w14:textId="77777777" w:rsidR="00A64FE5" w:rsidRDefault="00A64FE5" w:rsidP="00D43507">
      <w:pPr>
        <w:spacing w:after="0"/>
        <w:jc w:val="center"/>
        <w:rPr>
          <w:b/>
          <w:bCs/>
        </w:rPr>
      </w:pPr>
    </w:p>
    <w:p w14:paraId="55DE3CEF" w14:textId="77777777" w:rsidR="00A64FE5" w:rsidRDefault="00A64FE5" w:rsidP="00D43507">
      <w:pPr>
        <w:spacing w:after="0"/>
        <w:jc w:val="center"/>
        <w:rPr>
          <w:b/>
          <w:bCs/>
        </w:rPr>
      </w:pPr>
    </w:p>
    <w:p w14:paraId="6836C0E9" w14:textId="6C6F6DF8" w:rsidR="00792472" w:rsidRDefault="00D43507" w:rsidP="00D43507">
      <w:pPr>
        <w:jc w:val="center"/>
      </w:pPr>
      <w:r>
        <w:rPr>
          <w:noProof/>
        </w:rPr>
        <w:drawing>
          <wp:inline distT="0" distB="0" distL="0" distR="0" wp14:anchorId="09DAC4CC" wp14:editId="28BC89C5">
            <wp:extent cx="5219700" cy="4410075"/>
            <wp:effectExtent l="0" t="0" r="0" b="9525"/>
            <wp:docPr id="1" name="Chart 1">
              <a:extLst xmlns:a="http://schemas.openxmlformats.org/drawingml/2006/main">
                <a:ext uri="{FF2B5EF4-FFF2-40B4-BE49-F238E27FC236}">
                  <a16:creationId xmlns:a16="http://schemas.microsoft.com/office/drawing/2014/main" id="{EAF4CF5A-FB75-399C-C52F-1C3A360667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D03694D" w14:textId="77777777" w:rsidR="00CB2DEA" w:rsidRDefault="00CB2DEA" w:rsidP="00AD60AE">
      <w:pPr>
        <w:spacing w:after="0"/>
        <w:jc w:val="center"/>
        <w:rPr>
          <w:b/>
          <w:bCs/>
        </w:rPr>
      </w:pPr>
    </w:p>
    <w:p w14:paraId="4BF5BD72" w14:textId="7C6154E9" w:rsidR="00792472" w:rsidRPr="00CB2DEA" w:rsidRDefault="00792472" w:rsidP="00AD60AE">
      <w:pPr>
        <w:spacing w:after="0"/>
        <w:jc w:val="center"/>
        <w:rPr>
          <w:b/>
          <w:bCs/>
          <w:sz w:val="24"/>
          <w:szCs w:val="24"/>
        </w:rPr>
      </w:pPr>
      <w:r w:rsidRPr="00CB2DEA">
        <w:rPr>
          <w:b/>
          <w:bCs/>
          <w:sz w:val="24"/>
          <w:szCs w:val="24"/>
        </w:rPr>
        <w:t>Ostvarenje financijskog plana po izvorima</w:t>
      </w:r>
    </w:p>
    <w:p w14:paraId="56EC0E37" w14:textId="77777777" w:rsidR="00CB2DEA" w:rsidRPr="00CB2DEA" w:rsidRDefault="00CB2DEA" w:rsidP="00AD60AE">
      <w:pPr>
        <w:spacing w:after="0"/>
        <w:jc w:val="center"/>
        <w:rPr>
          <w:b/>
          <w:bCs/>
          <w:sz w:val="24"/>
          <w:szCs w:val="24"/>
        </w:rPr>
      </w:pPr>
    </w:p>
    <w:tbl>
      <w:tblPr>
        <w:tblW w:w="9244" w:type="dxa"/>
        <w:tblLook w:val="04A0" w:firstRow="1" w:lastRow="0" w:firstColumn="1" w:lastColumn="0" w:noHBand="0" w:noVBand="1"/>
      </w:tblPr>
      <w:tblGrid>
        <w:gridCol w:w="760"/>
        <w:gridCol w:w="4104"/>
        <w:gridCol w:w="2640"/>
        <w:gridCol w:w="1740"/>
      </w:tblGrid>
      <w:tr w:rsidR="00AD60AE" w14:paraId="07AA020B" w14:textId="77777777" w:rsidTr="00A873B5">
        <w:trPr>
          <w:trHeight w:val="315"/>
        </w:trPr>
        <w:tc>
          <w:tcPr>
            <w:tcW w:w="760" w:type="dxa"/>
            <w:tcBorders>
              <w:top w:val="single" w:sz="8" w:space="0" w:color="8EA9DB"/>
              <w:left w:val="single" w:sz="8" w:space="0" w:color="8EA9DB"/>
              <w:bottom w:val="single" w:sz="8" w:space="0" w:color="8EA9DB"/>
              <w:right w:val="nil"/>
            </w:tcBorders>
            <w:shd w:val="clear" w:color="000000" w:fill="4472C4"/>
            <w:noWrap/>
            <w:vAlign w:val="center"/>
            <w:hideMark/>
          </w:tcPr>
          <w:p w14:paraId="26AF6995" w14:textId="77777777" w:rsidR="00AD60AE" w:rsidRDefault="00AD60AE" w:rsidP="00A873B5">
            <w:pPr>
              <w:jc w:val="right"/>
              <w:rPr>
                <w:rFonts w:ascii="Calibri" w:hAnsi="Calibri" w:cs="Calibri"/>
                <w:b/>
                <w:bCs/>
                <w:color w:val="FFFFFF"/>
                <w:sz w:val="20"/>
                <w:szCs w:val="20"/>
                <w:lang w:eastAsia="hr-HR"/>
              </w:rPr>
            </w:pPr>
            <w:r>
              <w:rPr>
                <w:rFonts w:ascii="Calibri" w:hAnsi="Calibri" w:cs="Calibri"/>
                <w:b/>
                <w:bCs/>
                <w:color w:val="FFFFFF"/>
                <w:sz w:val="20"/>
                <w:szCs w:val="20"/>
              </w:rPr>
              <w:t>Izvor</w:t>
            </w:r>
          </w:p>
        </w:tc>
        <w:tc>
          <w:tcPr>
            <w:tcW w:w="4104" w:type="dxa"/>
            <w:tcBorders>
              <w:top w:val="single" w:sz="8" w:space="0" w:color="8EA9DB"/>
              <w:left w:val="nil"/>
              <w:bottom w:val="single" w:sz="8" w:space="0" w:color="8EA9DB"/>
              <w:right w:val="nil"/>
            </w:tcBorders>
            <w:shd w:val="clear" w:color="000000" w:fill="4472C4"/>
            <w:noWrap/>
            <w:vAlign w:val="center"/>
            <w:hideMark/>
          </w:tcPr>
          <w:p w14:paraId="3272324D" w14:textId="77777777" w:rsidR="00AD60AE" w:rsidRDefault="00AD60AE" w:rsidP="00A873B5">
            <w:pPr>
              <w:jc w:val="center"/>
              <w:rPr>
                <w:rFonts w:ascii="Calibri" w:hAnsi="Calibri" w:cs="Calibri"/>
                <w:b/>
                <w:bCs/>
                <w:color w:val="FFFFFF"/>
                <w:sz w:val="20"/>
                <w:szCs w:val="20"/>
              </w:rPr>
            </w:pPr>
            <w:r>
              <w:rPr>
                <w:rFonts w:ascii="Calibri" w:hAnsi="Calibri" w:cs="Calibri"/>
                <w:b/>
                <w:bCs/>
                <w:color w:val="FFFFFF"/>
                <w:sz w:val="20"/>
                <w:szCs w:val="20"/>
              </w:rPr>
              <w:t>Naziv izvora</w:t>
            </w:r>
          </w:p>
        </w:tc>
        <w:tc>
          <w:tcPr>
            <w:tcW w:w="2640" w:type="dxa"/>
            <w:tcBorders>
              <w:top w:val="single" w:sz="8" w:space="0" w:color="8EA9DB"/>
              <w:left w:val="nil"/>
              <w:bottom w:val="single" w:sz="8" w:space="0" w:color="8EA9DB"/>
              <w:right w:val="nil"/>
            </w:tcBorders>
            <w:shd w:val="clear" w:color="000000" w:fill="4472C4"/>
            <w:noWrap/>
            <w:vAlign w:val="center"/>
            <w:hideMark/>
          </w:tcPr>
          <w:p w14:paraId="62007E26" w14:textId="77777777" w:rsidR="00AD60AE" w:rsidRDefault="00AD60AE" w:rsidP="00A873B5">
            <w:pPr>
              <w:jc w:val="center"/>
              <w:rPr>
                <w:rFonts w:ascii="Calibri" w:hAnsi="Calibri" w:cs="Calibri"/>
                <w:b/>
                <w:bCs/>
                <w:color w:val="FFFFFF"/>
                <w:sz w:val="20"/>
                <w:szCs w:val="20"/>
              </w:rPr>
            </w:pPr>
            <w:r>
              <w:rPr>
                <w:rFonts w:ascii="Calibri" w:hAnsi="Calibri" w:cs="Calibri"/>
                <w:b/>
                <w:bCs/>
                <w:color w:val="FFFFFF"/>
                <w:sz w:val="20"/>
                <w:szCs w:val="20"/>
              </w:rPr>
              <w:t>Iznos</w:t>
            </w:r>
          </w:p>
        </w:tc>
        <w:tc>
          <w:tcPr>
            <w:tcW w:w="1740" w:type="dxa"/>
            <w:tcBorders>
              <w:top w:val="single" w:sz="8" w:space="0" w:color="8EA9DB"/>
              <w:left w:val="nil"/>
              <w:bottom w:val="single" w:sz="8" w:space="0" w:color="8EA9DB"/>
              <w:right w:val="single" w:sz="8" w:space="0" w:color="8EA9DB"/>
            </w:tcBorders>
            <w:shd w:val="clear" w:color="000000" w:fill="4472C4"/>
            <w:noWrap/>
            <w:vAlign w:val="center"/>
            <w:hideMark/>
          </w:tcPr>
          <w:p w14:paraId="47F47143" w14:textId="77777777" w:rsidR="00AD60AE" w:rsidRDefault="00AD60AE" w:rsidP="00A873B5">
            <w:pPr>
              <w:jc w:val="right"/>
              <w:rPr>
                <w:rFonts w:ascii="Calibri" w:hAnsi="Calibri" w:cs="Calibri"/>
                <w:b/>
                <w:bCs/>
                <w:color w:val="FFFFFF"/>
                <w:sz w:val="20"/>
                <w:szCs w:val="20"/>
              </w:rPr>
            </w:pPr>
            <w:r>
              <w:rPr>
                <w:rFonts w:ascii="Calibri" w:hAnsi="Calibri" w:cs="Calibri"/>
                <w:b/>
                <w:bCs/>
                <w:color w:val="FFFFFF"/>
                <w:sz w:val="20"/>
                <w:szCs w:val="20"/>
              </w:rPr>
              <w:t>Udio</w:t>
            </w:r>
          </w:p>
        </w:tc>
      </w:tr>
      <w:tr w:rsidR="00AD60AE" w14:paraId="7FF2D289" w14:textId="77777777" w:rsidTr="00A873B5">
        <w:trPr>
          <w:trHeight w:val="495"/>
        </w:trPr>
        <w:tc>
          <w:tcPr>
            <w:tcW w:w="760" w:type="dxa"/>
            <w:tcBorders>
              <w:top w:val="nil"/>
              <w:left w:val="single" w:sz="8" w:space="0" w:color="8EA9DB"/>
              <w:bottom w:val="single" w:sz="8" w:space="0" w:color="8EA9DB"/>
              <w:right w:val="nil"/>
            </w:tcBorders>
            <w:shd w:val="clear" w:color="000000" w:fill="D9E1F2"/>
            <w:noWrap/>
            <w:vAlign w:val="center"/>
            <w:hideMark/>
          </w:tcPr>
          <w:p w14:paraId="201D0649"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11</w:t>
            </w:r>
          </w:p>
        </w:tc>
        <w:tc>
          <w:tcPr>
            <w:tcW w:w="4104" w:type="dxa"/>
            <w:tcBorders>
              <w:top w:val="nil"/>
              <w:left w:val="nil"/>
              <w:bottom w:val="single" w:sz="8" w:space="0" w:color="8EA9DB"/>
              <w:right w:val="nil"/>
            </w:tcBorders>
            <w:shd w:val="clear" w:color="000000" w:fill="D9E1F2"/>
            <w:noWrap/>
            <w:vAlign w:val="center"/>
            <w:hideMark/>
          </w:tcPr>
          <w:p w14:paraId="1486F165" w14:textId="77777777" w:rsidR="00AD60AE" w:rsidRDefault="00AD60AE" w:rsidP="00A873B5">
            <w:pPr>
              <w:rPr>
                <w:rFonts w:ascii="Calibri" w:hAnsi="Calibri" w:cs="Calibri"/>
                <w:color w:val="000000"/>
                <w:sz w:val="20"/>
                <w:szCs w:val="20"/>
              </w:rPr>
            </w:pPr>
            <w:r>
              <w:rPr>
                <w:rFonts w:ascii="Calibri" w:hAnsi="Calibri" w:cs="Calibri"/>
                <w:color w:val="000000"/>
                <w:sz w:val="20"/>
                <w:szCs w:val="20"/>
              </w:rPr>
              <w:t>Opći prihodi i primici</w:t>
            </w:r>
          </w:p>
        </w:tc>
        <w:tc>
          <w:tcPr>
            <w:tcW w:w="2640" w:type="dxa"/>
            <w:tcBorders>
              <w:top w:val="nil"/>
              <w:left w:val="nil"/>
              <w:bottom w:val="single" w:sz="8" w:space="0" w:color="8EA9DB"/>
              <w:right w:val="nil"/>
            </w:tcBorders>
            <w:shd w:val="clear" w:color="000000" w:fill="D9E1F2"/>
            <w:noWrap/>
            <w:vAlign w:val="center"/>
            <w:hideMark/>
          </w:tcPr>
          <w:p w14:paraId="17E75F20"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100.085,20 €</w:t>
            </w:r>
          </w:p>
        </w:tc>
        <w:tc>
          <w:tcPr>
            <w:tcW w:w="1740" w:type="dxa"/>
            <w:tcBorders>
              <w:top w:val="nil"/>
              <w:left w:val="nil"/>
              <w:bottom w:val="single" w:sz="8" w:space="0" w:color="8EA9DB"/>
              <w:right w:val="single" w:sz="8" w:space="0" w:color="8EA9DB"/>
            </w:tcBorders>
            <w:shd w:val="clear" w:color="000000" w:fill="D9E1F2"/>
            <w:noWrap/>
            <w:vAlign w:val="center"/>
            <w:hideMark/>
          </w:tcPr>
          <w:p w14:paraId="22390147"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10,87%</w:t>
            </w:r>
          </w:p>
        </w:tc>
      </w:tr>
      <w:tr w:rsidR="00AD60AE" w14:paraId="614FBB90" w14:textId="77777777" w:rsidTr="00A873B5">
        <w:trPr>
          <w:trHeight w:val="403"/>
        </w:trPr>
        <w:tc>
          <w:tcPr>
            <w:tcW w:w="760" w:type="dxa"/>
            <w:tcBorders>
              <w:top w:val="nil"/>
              <w:left w:val="single" w:sz="8" w:space="0" w:color="8EA9DB"/>
              <w:bottom w:val="single" w:sz="8" w:space="0" w:color="8EA9DB"/>
              <w:right w:val="nil"/>
            </w:tcBorders>
            <w:shd w:val="clear" w:color="auto" w:fill="auto"/>
            <w:noWrap/>
            <w:vAlign w:val="center"/>
            <w:hideMark/>
          </w:tcPr>
          <w:p w14:paraId="2183D87E"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24</w:t>
            </w:r>
          </w:p>
        </w:tc>
        <w:tc>
          <w:tcPr>
            <w:tcW w:w="4104" w:type="dxa"/>
            <w:tcBorders>
              <w:top w:val="nil"/>
              <w:left w:val="nil"/>
              <w:bottom w:val="single" w:sz="8" w:space="0" w:color="8EA9DB"/>
              <w:right w:val="nil"/>
            </w:tcBorders>
            <w:shd w:val="clear" w:color="auto" w:fill="auto"/>
            <w:noWrap/>
            <w:vAlign w:val="center"/>
            <w:hideMark/>
          </w:tcPr>
          <w:p w14:paraId="5A152407" w14:textId="77777777" w:rsidR="00AD60AE" w:rsidRDefault="00AD60AE" w:rsidP="00A873B5">
            <w:pPr>
              <w:rPr>
                <w:rFonts w:ascii="Calibri" w:hAnsi="Calibri" w:cs="Calibri"/>
                <w:color w:val="000000"/>
                <w:sz w:val="20"/>
                <w:szCs w:val="20"/>
              </w:rPr>
            </w:pPr>
            <w:r>
              <w:rPr>
                <w:rFonts w:ascii="Calibri" w:hAnsi="Calibri" w:cs="Calibri"/>
                <w:color w:val="000000"/>
                <w:sz w:val="20"/>
                <w:szCs w:val="20"/>
              </w:rPr>
              <w:t>Vlastiti prihodi</w:t>
            </w:r>
          </w:p>
        </w:tc>
        <w:tc>
          <w:tcPr>
            <w:tcW w:w="2640" w:type="dxa"/>
            <w:tcBorders>
              <w:top w:val="nil"/>
              <w:left w:val="nil"/>
              <w:bottom w:val="single" w:sz="8" w:space="0" w:color="8EA9DB"/>
              <w:right w:val="nil"/>
            </w:tcBorders>
            <w:shd w:val="clear" w:color="auto" w:fill="auto"/>
            <w:noWrap/>
            <w:vAlign w:val="center"/>
            <w:hideMark/>
          </w:tcPr>
          <w:p w14:paraId="7813FA9B"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9.880,35 €</w:t>
            </w:r>
          </w:p>
        </w:tc>
        <w:tc>
          <w:tcPr>
            <w:tcW w:w="1740" w:type="dxa"/>
            <w:tcBorders>
              <w:top w:val="nil"/>
              <w:left w:val="nil"/>
              <w:bottom w:val="single" w:sz="8" w:space="0" w:color="8EA9DB"/>
              <w:right w:val="single" w:sz="8" w:space="0" w:color="8EA9DB"/>
            </w:tcBorders>
            <w:shd w:val="clear" w:color="000000" w:fill="D9E1F2"/>
            <w:noWrap/>
            <w:vAlign w:val="center"/>
            <w:hideMark/>
          </w:tcPr>
          <w:p w14:paraId="3181F2E3"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1,07%</w:t>
            </w:r>
          </w:p>
        </w:tc>
      </w:tr>
      <w:tr w:rsidR="00AD60AE" w14:paraId="6A6D3F1E" w14:textId="77777777" w:rsidTr="00A873B5">
        <w:trPr>
          <w:trHeight w:val="692"/>
        </w:trPr>
        <w:tc>
          <w:tcPr>
            <w:tcW w:w="760" w:type="dxa"/>
            <w:tcBorders>
              <w:top w:val="nil"/>
              <w:left w:val="single" w:sz="8" w:space="0" w:color="8EA9DB"/>
              <w:bottom w:val="single" w:sz="8" w:space="0" w:color="8EA9DB"/>
              <w:right w:val="nil"/>
            </w:tcBorders>
            <w:shd w:val="clear" w:color="000000" w:fill="D9E1F2"/>
            <w:noWrap/>
            <w:vAlign w:val="center"/>
            <w:hideMark/>
          </w:tcPr>
          <w:p w14:paraId="4ADB7FFE"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61</w:t>
            </w:r>
          </w:p>
        </w:tc>
        <w:tc>
          <w:tcPr>
            <w:tcW w:w="4104" w:type="dxa"/>
            <w:tcBorders>
              <w:top w:val="nil"/>
              <w:left w:val="nil"/>
              <w:bottom w:val="single" w:sz="8" w:space="0" w:color="8EA9DB"/>
              <w:right w:val="nil"/>
            </w:tcBorders>
            <w:shd w:val="clear" w:color="000000" w:fill="D9E1F2"/>
            <w:noWrap/>
            <w:vAlign w:val="center"/>
            <w:hideMark/>
          </w:tcPr>
          <w:p w14:paraId="61CA16B4" w14:textId="77777777" w:rsidR="00AD60AE" w:rsidRDefault="00AD60AE" w:rsidP="00A873B5">
            <w:pPr>
              <w:rPr>
                <w:rFonts w:ascii="Calibri" w:hAnsi="Calibri" w:cs="Calibri"/>
                <w:color w:val="000000"/>
                <w:sz w:val="20"/>
                <w:szCs w:val="20"/>
              </w:rPr>
            </w:pPr>
            <w:r>
              <w:rPr>
                <w:rFonts w:ascii="Calibri" w:hAnsi="Calibri" w:cs="Calibri"/>
                <w:color w:val="000000"/>
                <w:sz w:val="20"/>
                <w:szCs w:val="20"/>
              </w:rPr>
              <w:t xml:space="preserve">Donacije-sufinanciranje plaće od PVZ-a otoka Krka </w:t>
            </w:r>
          </w:p>
        </w:tc>
        <w:tc>
          <w:tcPr>
            <w:tcW w:w="2640" w:type="dxa"/>
            <w:tcBorders>
              <w:top w:val="nil"/>
              <w:left w:val="nil"/>
              <w:bottom w:val="single" w:sz="8" w:space="0" w:color="8EA9DB"/>
              <w:right w:val="nil"/>
            </w:tcBorders>
            <w:shd w:val="clear" w:color="000000" w:fill="D9E1F2"/>
            <w:noWrap/>
            <w:vAlign w:val="center"/>
            <w:hideMark/>
          </w:tcPr>
          <w:p w14:paraId="20D5D2A8"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114.760,20 €</w:t>
            </w:r>
          </w:p>
        </w:tc>
        <w:tc>
          <w:tcPr>
            <w:tcW w:w="1740" w:type="dxa"/>
            <w:tcBorders>
              <w:top w:val="nil"/>
              <w:left w:val="nil"/>
              <w:bottom w:val="single" w:sz="8" w:space="0" w:color="8EA9DB"/>
              <w:right w:val="single" w:sz="8" w:space="0" w:color="8EA9DB"/>
            </w:tcBorders>
            <w:shd w:val="clear" w:color="000000" w:fill="D9E1F2"/>
            <w:noWrap/>
            <w:vAlign w:val="center"/>
            <w:hideMark/>
          </w:tcPr>
          <w:p w14:paraId="45FF33A6"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12,46%</w:t>
            </w:r>
          </w:p>
        </w:tc>
      </w:tr>
      <w:tr w:rsidR="00AD60AE" w14:paraId="06423592" w14:textId="77777777" w:rsidTr="00A873B5">
        <w:trPr>
          <w:trHeight w:val="404"/>
        </w:trPr>
        <w:tc>
          <w:tcPr>
            <w:tcW w:w="760" w:type="dxa"/>
            <w:tcBorders>
              <w:top w:val="nil"/>
              <w:left w:val="single" w:sz="8" w:space="0" w:color="8EA9DB"/>
              <w:bottom w:val="single" w:sz="8" w:space="0" w:color="8EA9DB"/>
              <w:right w:val="nil"/>
            </w:tcBorders>
            <w:shd w:val="clear" w:color="000000" w:fill="FFFFFF"/>
            <w:noWrap/>
            <w:vAlign w:val="center"/>
            <w:hideMark/>
          </w:tcPr>
          <w:p w14:paraId="7C1B5D9A"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98</w:t>
            </w:r>
          </w:p>
        </w:tc>
        <w:tc>
          <w:tcPr>
            <w:tcW w:w="4104" w:type="dxa"/>
            <w:tcBorders>
              <w:top w:val="nil"/>
              <w:left w:val="nil"/>
              <w:bottom w:val="single" w:sz="8" w:space="0" w:color="8EA9DB"/>
              <w:right w:val="nil"/>
            </w:tcBorders>
            <w:shd w:val="clear" w:color="000000" w:fill="FFFFFF"/>
            <w:noWrap/>
            <w:vAlign w:val="center"/>
            <w:hideMark/>
          </w:tcPr>
          <w:p w14:paraId="40E2D8E1" w14:textId="77777777" w:rsidR="00AD60AE" w:rsidRDefault="00AD60AE" w:rsidP="00A873B5">
            <w:pPr>
              <w:rPr>
                <w:rFonts w:ascii="Calibri" w:hAnsi="Calibri" w:cs="Calibri"/>
                <w:color w:val="000000"/>
                <w:sz w:val="20"/>
                <w:szCs w:val="20"/>
              </w:rPr>
            </w:pPr>
            <w:r>
              <w:rPr>
                <w:rFonts w:ascii="Calibri" w:hAnsi="Calibri" w:cs="Calibri"/>
                <w:color w:val="000000"/>
                <w:sz w:val="20"/>
                <w:szCs w:val="20"/>
              </w:rPr>
              <w:t>Višak prihoda od dec.funkcija</w:t>
            </w:r>
          </w:p>
        </w:tc>
        <w:tc>
          <w:tcPr>
            <w:tcW w:w="2640" w:type="dxa"/>
            <w:tcBorders>
              <w:top w:val="nil"/>
              <w:left w:val="nil"/>
              <w:bottom w:val="single" w:sz="8" w:space="0" w:color="8EA9DB"/>
              <w:right w:val="nil"/>
            </w:tcBorders>
            <w:shd w:val="clear" w:color="000000" w:fill="FFFFFF"/>
            <w:noWrap/>
            <w:vAlign w:val="center"/>
            <w:hideMark/>
          </w:tcPr>
          <w:p w14:paraId="59A6F3FF"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1.955,52 €</w:t>
            </w:r>
          </w:p>
        </w:tc>
        <w:tc>
          <w:tcPr>
            <w:tcW w:w="1740" w:type="dxa"/>
            <w:tcBorders>
              <w:top w:val="nil"/>
              <w:left w:val="nil"/>
              <w:bottom w:val="single" w:sz="8" w:space="0" w:color="8EA9DB"/>
              <w:right w:val="single" w:sz="8" w:space="0" w:color="8EA9DB"/>
            </w:tcBorders>
            <w:shd w:val="clear" w:color="000000" w:fill="FFFFFF"/>
            <w:noWrap/>
            <w:vAlign w:val="center"/>
            <w:hideMark/>
          </w:tcPr>
          <w:p w14:paraId="74EB69AE"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0,21%</w:t>
            </w:r>
          </w:p>
        </w:tc>
      </w:tr>
      <w:tr w:rsidR="00AD60AE" w14:paraId="5399CFEE" w14:textId="77777777" w:rsidTr="00A873B5">
        <w:trPr>
          <w:trHeight w:val="396"/>
        </w:trPr>
        <w:tc>
          <w:tcPr>
            <w:tcW w:w="760" w:type="dxa"/>
            <w:tcBorders>
              <w:top w:val="nil"/>
              <w:left w:val="single" w:sz="8" w:space="0" w:color="8EA9DB"/>
              <w:bottom w:val="single" w:sz="8" w:space="0" w:color="8EA9DB"/>
              <w:right w:val="nil"/>
            </w:tcBorders>
            <w:shd w:val="clear" w:color="auto" w:fill="auto"/>
            <w:noWrap/>
            <w:vAlign w:val="center"/>
            <w:hideMark/>
          </w:tcPr>
          <w:p w14:paraId="350DD12C"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112</w:t>
            </w:r>
          </w:p>
        </w:tc>
        <w:tc>
          <w:tcPr>
            <w:tcW w:w="4104" w:type="dxa"/>
            <w:tcBorders>
              <w:top w:val="nil"/>
              <w:left w:val="nil"/>
              <w:bottom w:val="single" w:sz="8" w:space="0" w:color="8EA9DB"/>
              <w:right w:val="nil"/>
            </w:tcBorders>
            <w:shd w:val="clear" w:color="auto" w:fill="auto"/>
            <w:noWrap/>
            <w:vAlign w:val="center"/>
            <w:hideMark/>
          </w:tcPr>
          <w:p w14:paraId="6E1E4220" w14:textId="77777777" w:rsidR="00AD60AE" w:rsidRDefault="00AD60AE" w:rsidP="00A873B5">
            <w:pPr>
              <w:rPr>
                <w:rFonts w:ascii="Calibri" w:hAnsi="Calibri" w:cs="Calibri"/>
                <w:color w:val="000000"/>
                <w:sz w:val="20"/>
                <w:szCs w:val="20"/>
              </w:rPr>
            </w:pPr>
            <w:r>
              <w:rPr>
                <w:rFonts w:ascii="Calibri" w:hAnsi="Calibri" w:cs="Calibri"/>
                <w:color w:val="000000"/>
                <w:sz w:val="20"/>
                <w:szCs w:val="20"/>
              </w:rPr>
              <w:t>Decentralizirane funkcije vatrogastva</w:t>
            </w:r>
          </w:p>
        </w:tc>
        <w:tc>
          <w:tcPr>
            <w:tcW w:w="2640" w:type="dxa"/>
            <w:tcBorders>
              <w:top w:val="nil"/>
              <w:left w:val="nil"/>
              <w:bottom w:val="single" w:sz="8" w:space="0" w:color="8EA9DB"/>
              <w:right w:val="nil"/>
            </w:tcBorders>
            <w:shd w:val="clear" w:color="auto" w:fill="auto"/>
            <w:noWrap/>
            <w:vAlign w:val="center"/>
            <w:hideMark/>
          </w:tcPr>
          <w:p w14:paraId="19DBA7DC"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384.419,00 €</w:t>
            </w:r>
          </w:p>
        </w:tc>
        <w:tc>
          <w:tcPr>
            <w:tcW w:w="1740" w:type="dxa"/>
            <w:tcBorders>
              <w:top w:val="nil"/>
              <w:left w:val="nil"/>
              <w:bottom w:val="single" w:sz="8" w:space="0" w:color="8EA9DB"/>
              <w:right w:val="single" w:sz="8" w:space="0" w:color="8EA9DB"/>
            </w:tcBorders>
            <w:shd w:val="clear" w:color="auto" w:fill="auto"/>
            <w:noWrap/>
            <w:vAlign w:val="center"/>
            <w:hideMark/>
          </w:tcPr>
          <w:p w14:paraId="1AC35B7F"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41,75%</w:t>
            </w:r>
          </w:p>
        </w:tc>
      </w:tr>
      <w:tr w:rsidR="00AD60AE" w14:paraId="5B9A62B5" w14:textId="77777777" w:rsidTr="00A873B5">
        <w:trPr>
          <w:trHeight w:val="417"/>
        </w:trPr>
        <w:tc>
          <w:tcPr>
            <w:tcW w:w="760" w:type="dxa"/>
            <w:tcBorders>
              <w:top w:val="nil"/>
              <w:left w:val="single" w:sz="8" w:space="0" w:color="8EA9DB"/>
              <w:bottom w:val="single" w:sz="8" w:space="0" w:color="8EA9DB"/>
              <w:right w:val="nil"/>
            </w:tcBorders>
            <w:shd w:val="clear" w:color="000000" w:fill="D9E1F2"/>
            <w:noWrap/>
            <w:vAlign w:val="center"/>
            <w:hideMark/>
          </w:tcPr>
          <w:p w14:paraId="4ECAD186"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lastRenderedPageBreak/>
              <w:t>454</w:t>
            </w:r>
          </w:p>
        </w:tc>
        <w:tc>
          <w:tcPr>
            <w:tcW w:w="4104" w:type="dxa"/>
            <w:tcBorders>
              <w:top w:val="nil"/>
              <w:left w:val="nil"/>
              <w:bottom w:val="single" w:sz="8" w:space="0" w:color="8EA9DB"/>
              <w:right w:val="nil"/>
            </w:tcBorders>
            <w:shd w:val="clear" w:color="000000" w:fill="D9E1F2"/>
            <w:noWrap/>
            <w:vAlign w:val="center"/>
            <w:hideMark/>
          </w:tcPr>
          <w:p w14:paraId="55D4E961" w14:textId="77777777" w:rsidR="00AD60AE" w:rsidRDefault="00AD60AE" w:rsidP="00A873B5">
            <w:pPr>
              <w:rPr>
                <w:rFonts w:ascii="Calibri" w:hAnsi="Calibri" w:cs="Calibri"/>
                <w:color w:val="000000"/>
                <w:sz w:val="20"/>
                <w:szCs w:val="20"/>
              </w:rPr>
            </w:pPr>
            <w:r>
              <w:rPr>
                <w:rFonts w:ascii="Calibri" w:hAnsi="Calibri" w:cs="Calibri"/>
                <w:color w:val="000000"/>
                <w:sz w:val="20"/>
                <w:szCs w:val="20"/>
              </w:rPr>
              <w:t>Ostale pomoći</w:t>
            </w:r>
          </w:p>
        </w:tc>
        <w:tc>
          <w:tcPr>
            <w:tcW w:w="2640" w:type="dxa"/>
            <w:tcBorders>
              <w:top w:val="nil"/>
              <w:left w:val="nil"/>
              <w:bottom w:val="single" w:sz="8" w:space="0" w:color="8EA9DB"/>
              <w:right w:val="nil"/>
            </w:tcBorders>
            <w:shd w:val="clear" w:color="000000" w:fill="D9E1F2"/>
            <w:noWrap/>
            <w:vAlign w:val="center"/>
            <w:hideMark/>
          </w:tcPr>
          <w:p w14:paraId="640A1710"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42.988,92 €</w:t>
            </w:r>
          </w:p>
        </w:tc>
        <w:tc>
          <w:tcPr>
            <w:tcW w:w="1740" w:type="dxa"/>
            <w:tcBorders>
              <w:top w:val="nil"/>
              <w:left w:val="nil"/>
              <w:bottom w:val="single" w:sz="8" w:space="0" w:color="8EA9DB"/>
              <w:right w:val="single" w:sz="8" w:space="0" w:color="8EA9DB"/>
            </w:tcBorders>
            <w:shd w:val="clear" w:color="000000" w:fill="D9E1F2"/>
            <w:noWrap/>
            <w:vAlign w:val="center"/>
            <w:hideMark/>
          </w:tcPr>
          <w:p w14:paraId="72239F12"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4,67%</w:t>
            </w:r>
          </w:p>
        </w:tc>
      </w:tr>
      <w:tr w:rsidR="00AD60AE" w14:paraId="1023D2E9" w14:textId="77777777" w:rsidTr="00A873B5">
        <w:trPr>
          <w:trHeight w:val="408"/>
        </w:trPr>
        <w:tc>
          <w:tcPr>
            <w:tcW w:w="760" w:type="dxa"/>
            <w:tcBorders>
              <w:top w:val="nil"/>
              <w:left w:val="single" w:sz="8" w:space="0" w:color="8EA9DB"/>
              <w:bottom w:val="single" w:sz="8" w:space="0" w:color="8EA9DB"/>
              <w:right w:val="nil"/>
            </w:tcBorders>
            <w:shd w:val="clear" w:color="auto" w:fill="auto"/>
            <w:noWrap/>
            <w:vAlign w:val="center"/>
            <w:hideMark/>
          </w:tcPr>
          <w:p w14:paraId="4CC9AC9E"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456</w:t>
            </w:r>
          </w:p>
        </w:tc>
        <w:tc>
          <w:tcPr>
            <w:tcW w:w="4104" w:type="dxa"/>
            <w:tcBorders>
              <w:top w:val="nil"/>
              <w:left w:val="nil"/>
              <w:bottom w:val="single" w:sz="8" w:space="0" w:color="8EA9DB"/>
              <w:right w:val="nil"/>
            </w:tcBorders>
            <w:shd w:val="clear" w:color="auto" w:fill="auto"/>
            <w:noWrap/>
            <w:vAlign w:val="center"/>
            <w:hideMark/>
          </w:tcPr>
          <w:p w14:paraId="6FF014B1" w14:textId="77777777" w:rsidR="00AD60AE" w:rsidRDefault="00AD60AE" w:rsidP="00A873B5">
            <w:pPr>
              <w:rPr>
                <w:rFonts w:ascii="Calibri" w:hAnsi="Calibri" w:cs="Calibri"/>
                <w:color w:val="000000"/>
                <w:sz w:val="20"/>
                <w:szCs w:val="20"/>
              </w:rPr>
            </w:pPr>
            <w:r>
              <w:rPr>
                <w:rFonts w:ascii="Calibri" w:hAnsi="Calibri" w:cs="Calibri"/>
                <w:color w:val="000000"/>
                <w:sz w:val="20"/>
                <w:szCs w:val="20"/>
              </w:rPr>
              <w:t>Pomoći otočke općine</w:t>
            </w:r>
          </w:p>
        </w:tc>
        <w:tc>
          <w:tcPr>
            <w:tcW w:w="2640" w:type="dxa"/>
            <w:tcBorders>
              <w:top w:val="nil"/>
              <w:left w:val="nil"/>
              <w:bottom w:val="single" w:sz="8" w:space="0" w:color="8EA9DB"/>
              <w:right w:val="nil"/>
            </w:tcBorders>
            <w:shd w:val="clear" w:color="auto" w:fill="auto"/>
            <w:noWrap/>
            <w:vAlign w:val="center"/>
            <w:hideMark/>
          </w:tcPr>
          <w:p w14:paraId="6856CEB2"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181.335,80 €</w:t>
            </w:r>
          </w:p>
        </w:tc>
        <w:tc>
          <w:tcPr>
            <w:tcW w:w="1740" w:type="dxa"/>
            <w:tcBorders>
              <w:top w:val="nil"/>
              <w:left w:val="nil"/>
              <w:bottom w:val="single" w:sz="8" w:space="0" w:color="8EA9DB"/>
              <w:right w:val="single" w:sz="8" w:space="0" w:color="8EA9DB"/>
            </w:tcBorders>
            <w:shd w:val="clear" w:color="auto" w:fill="auto"/>
            <w:noWrap/>
            <w:vAlign w:val="center"/>
            <w:hideMark/>
          </w:tcPr>
          <w:p w14:paraId="6544815E"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19,69%</w:t>
            </w:r>
          </w:p>
        </w:tc>
      </w:tr>
      <w:tr w:rsidR="00AD60AE" w14:paraId="018F2CFD" w14:textId="77777777" w:rsidTr="00A873B5">
        <w:trPr>
          <w:trHeight w:val="542"/>
        </w:trPr>
        <w:tc>
          <w:tcPr>
            <w:tcW w:w="760" w:type="dxa"/>
            <w:tcBorders>
              <w:top w:val="nil"/>
              <w:left w:val="single" w:sz="8" w:space="0" w:color="8EA9DB"/>
              <w:bottom w:val="single" w:sz="8" w:space="0" w:color="8EA9DB"/>
              <w:right w:val="nil"/>
            </w:tcBorders>
            <w:shd w:val="clear" w:color="000000" w:fill="D9E1F2"/>
            <w:noWrap/>
            <w:vAlign w:val="center"/>
            <w:hideMark/>
          </w:tcPr>
          <w:p w14:paraId="495EED5D"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514</w:t>
            </w:r>
          </w:p>
        </w:tc>
        <w:tc>
          <w:tcPr>
            <w:tcW w:w="4104" w:type="dxa"/>
            <w:tcBorders>
              <w:top w:val="nil"/>
              <w:left w:val="nil"/>
              <w:bottom w:val="single" w:sz="8" w:space="0" w:color="8EA9DB"/>
              <w:right w:val="nil"/>
            </w:tcBorders>
            <w:shd w:val="clear" w:color="000000" w:fill="D9E1F2"/>
            <w:noWrap/>
            <w:vAlign w:val="center"/>
            <w:hideMark/>
          </w:tcPr>
          <w:p w14:paraId="59C4F5E1" w14:textId="77777777" w:rsidR="00AD60AE" w:rsidRDefault="00AD60AE" w:rsidP="00A873B5">
            <w:pPr>
              <w:rPr>
                <w:rFonts w:ascii="Calibri" w:hAnsi="Calibri" w:cs="Calibri"/>
                <w:color w:val="000000"/>
                <w:sz w:val="20"/>
                <w:szCs w:val="20"/>
              </w:rPr>
            </w:pPr>
            <w:r>
              <w:rPr>
                <w:rFonts w:ascii="Calibri" w:hAnsi="Calibri" w:cs="Calibri"/>
                <w:color w:val="000000"/>
                <w:sz w:val="20"/>
                <w:szCs w:val="20"/>
              </w:rPr>
              <w:t>Donacije PVZ-a otoka Krka</w:t>
            </w:r>
          </w:p>
        </w:tc>
        <w:tc>
          <w:tcPr>
            <w:tcW w:w="2640" w:type="dxa"/>
            <w:tcBorders>
              <w:top w:val="nil"/>
              <w:left w:val="nil"/>
              <w:bottom w:val="single" w:sz="8" w:space="0" w:color="8EA9DB"/>
              <w:right w:val="nil"/>
            </w:tcBorders>
            <w:shd w:val="clear" w:color="000000" w:fill="D9E1F2"/>
            <w:noWrap/>
            <w:vAlign w:val="center"/>
            <w:hideMark/>
          </w:tcPr>
          <w:p w14:paraId="7419A48F"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73.301,07 €</w:t>
            </w:r>
          </w:p>
        </w:tc>
        <w:tc>
          <w:tcPr>
            <w:tcW w:w="1740" w:type="dxa"/>
            <w:tcBorders>
              <w:top w:val="nil"/>
              <w:left w:val="nil"/>
              <w:bottom w:val="single" w:sz="8" w:space="0" w:color="8EA9DB"/>
              <w:right w:val="single" w:sz="8" w:space="0" w:color="8EA9DB"/>
            </w:tcBorders>
            <w:shd w:val="clear" w:color="000000" w:fill="D9E1F2"/>
            <w:noWrap/>
            <w:vAlign w:val="center"/>
            <w:hideMark/>
          </w:tcPr>
          <w:p w14:paraId="16CAEA67"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7,96%</w:t>
            </w:r>
          </w:p>
        </w:tc>
      </w:tr>
      <w:tr w:rsidR="00AD60AE" w14:paraId="76659FF4" w14:textId="77777777" w:rsidTr="00A873B5">
        <w:trPr>
          <w:trHeight w:val="408"/>
        </w:trPr>
        <w:tc>
          <w:tcPr>
            <w:tcW w:w="760" w:type="dxa"/>
            <w:tcBorders>
              <w:top w:val="nil"/>
              <w:left w:val="single" w:sz="8" w:space="0" w:color="8EA9DB"/>
              <w:bottom w:val="single" w:sz="8" w:space="0" w:color="8EA9DB"/>
              <w:right w:val="nil"/>
            </w:tcBorders>
            <w:shd w:val="clear" w:color="auto" w:fill="auto"/>
            <w:noWrap/>
            <w:vAlign w:val="center"/>
            <w:hideMark/>
          </w:tcPr>
          <w:p w14:paraId="6CBDA8E5"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933</w:t>
            </w:r>
          </w:p>
        </w:tc>
        <w:tc>
          <w:tcPr>
            <w:tcW w:w="4104" w:type="dxa"/>
            <w:tcBorders>
              <w:top w:val="nil"/>
              <w:left w:val="nil"/>
              <w:bottom w:val="single" w:sz="8" w:space="0" w:color="8EA9DB"/>
              <w:right w:val="nil"/>
            </w:tcBorders>
            <w:shd w:val="clear" w:color="auto" w:fill="auto"/>
            <w:noWrap/>
            <w:vAlign w:val="center"/>
            <w:hideMark/>
          </w:tcPr>
          <w:p w14:paraId="430541DE" w14:textId="77777777" w:rsidR="00AD60AE" w:rsidRDefault="00AD60AE" w:rsidP="00A873B5">
            <w:pPr>
              <w:rPr>
                <w:rFonts w:ascii="Calibri" w:hAnsi="Calibri" w:cs="Calibri"/>
                <w:color w:val="000000"/>
                <w:sz w:val="20"/>
                <w:szCs w:val="20"/>
              </w:rPr>
            </w:pPr>
            <w:r>
              <w:rPr>
                <w:rFonts w:ascii="Calibri" w:hAnsi="Calibri" w:cs="Calibri"/>
                <w:color w:val="000000"/>
                <w:sz w:val="20"/>
                <w:szCs w:val="20"/>
              </w:rPr>
              <w:t>Višak prihoda-donacije</w:t>
            </w:r>
          </w:p>
        </w:tc>
        <w:tc>
          <w:tcPr>
            <w:tcW w:w="2640" w:type="dxa"/>
            <w:tcBorders>
              <w:top w:val="nil"/>
              <w:left w:val="nil"/>
              <w:bottom w:val="single" w:sz="8" w:space="0" w:color="8EA9DB"/>
              <w:right w:val="nil"/>
            </w:tcBorders>
            <w:shd w:val="clear" w:color="auto" w:fill="auto"/>
            <w:noWrap/>
            <w:vAlign w:val="center"/>
            <w:hideMark/>
          </w:tcPr>
          <w:p w14:paraId="3BBCBD96"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12.110,65 €</w:t>
            </w:r>
          </w:p>
        </w:tc>
        <w:tc>
          <w:tcPr>
            <w:tcW w:w="1740" w:type="dxa"/>
            <w:tcBorders>
              <w:top w:val="nil"/>
              <w:left w:val="nil"/>
              <w:bottom w:val="single" w:sz="8" w:space="0" w:color="8EA9DB"/>
              <w:right w:val="single" w:sz="8" w:space="0" w:color="8EA9DB"/>
            </w:tcBorders>
            <w:shd w:val="clear" w:color="auto" w:fill="auto"/>
            <w:noWrap/>
            <w:vAlign w:val="center"/>
            <w:hideMark/>
          </w:tcPr>
          <w:p w14:paraId="52C1F876" w14:textId="77777777" w:rsidR="00AD60AE" w:rsidRDefault="00AD60AE" w:rsidP="00A873B5">
            <w:pPr>
              <w:jc w:val="right"/>
              <w:rPr>
                <w:rFonts w:ascii="Calibri" w:hAnsi="Calibri" w:cs="Calibri"/>
                <w:color w:val="000000"/>
                <w:sz w:val="20"/>
                <w:szCs w:val="20"/>
              </w:rPr>
            </w:pPr>
            <w:r>
              <w:rPr>
                <w:rFonts w:ascii="Calibri" w:hAnsi="Calibri" w:cs="Calibri"/>
                <w:color w:val="000000"/>
                <w:sz w:val="20"/>
                <w:szCs w:val="20"/>
              </w:rPr>
              <w:t>1,32%</w:t>
            </w:r>
          </w:p>
        </w:tc>
      </w:tr>
      <w:tr w:rsidR="00AD60AE" w14:paraId="7783CB3F" w14:textId="77777777" w:rsidTr="00A873B5">
        <w:trPr>
          <w:trHeight w:val="401"/>
        </w:trPr>
        <w:tc>
          <w:tcPr>
            <w:tcW w:w="760" w:type="dxa"/>
            <w:tcBorders>
              <w:top w:val="nil"/>
              <w:left w:val="single" w:sz="8" w:space="0" w:color="8EA9DB"/>
              <w:bottom w:val="single" w:sz="8" w:space="0" w:color="8EA9DB"/>
              <w:right w:val="nil"/>
            </w:tcBorders>
            <w:shd w:val="clear" w:color="000000" w:fill="D9E1F2"/>
            <w:noWrap/>
            <w:vAlign w:val="bottom"/>
            <w:hideMark/>
          </w:tcPr>
          <w:p w14:paraId="33B652B8" w14:textId="77777777" w:rsidR="00AD60AE" w:rsidRDefault="00AD60AE" w:rsidP="00A873B5">
            <w:pPr>
              <w:rPr>
                <w:rFonts w:ascii="Calibri" w:hAnsi="Calibri" w:cs="Calibri"/>
                <w:color w:val="000000"/>
              </w:rPr>
            </w:pPr>
            <w:r>
              <w:rPr>
                <w:rFonts w:ascii="Calibri" w:hAnsi="Calibri" w:cs="Calibri"/>
                <w:color w:val="000000"/>
              </w:rPr>
              <w:t> </w:t>
            </w:r>
          </w:p>
        </w:tc>
        <w:tc>
          <w:tcPr>
            <w:tcW w:w="4104" w:type="dxa"/>
            <w:tcBorders>
              <w:top w:val="nil"/>
              <w:left w:val="nil"/>
              <w:bottom w:val="single" w:sz="8" w:space="0" w:color="8EA9DB"/>
              <w:right w:val="nil"/>
            </w:tcBorders>
            <w:shd w:val="clear" w:color="000000" w:fill="D9E1F2"/>
            <w:noWrap/>
            <w:vAlign w:val="center"/>
            <w:hideMark/>
          </w:tcPr>
          <w:p w14:paraId="74903914" w14:textId="77777777" w:rsidR="00AD60AE" w:rsidRDefault="00AD60AE" w:rsidP="00A873B5">
            <w:pPr>
              <w:rPr>
                <w:rFonts w:ascii="Calibri" w:hAnsi="Calibri" w:cs="Calibri"/>
                <w:b/>
                <w:bCs/>
                <w:color w:val="000000"/>
                <w:sz w:val="20"/>
                <w:szCs w:val="20"/>
              </w:rPr>
            </w:pPr>
            <w:r>
              <w:rPr>
                <w:rFonts w:ascii="Calibri" w:hAnsi="Calibri" w:cs="Calibri"/>
                <w:b/>
                <w:bCs/>
                <w:color w:val="000000"/>
                <w:sz w:val="20"/>
                <w:szCs w:val="20"/>
              </w:rPr>
              <w:t>Ukupno:</w:t>
            </w:r>
          </w:p>
        </w:tc>
        <w:tc>
          <w:tcPr>
            <w:tcW w:w="2640" w:type="dxa"/>
            <w:tcBorders>
              <w:top w:val="nil"/>
              <w:left w:val="nil"/>
              <w:bottom w:val="single" w:sz="8" w:space="0" w:color="8EA9DB"/>
              <w:right w:val="nil"/>
            </w:tcBorders>
            <w:shd w:val="clear" w:color="000000" w:fill="D9E1F2"/>
            <w:noWrap/>
            <w:vAlign w:val="center"/>
            <w:hideMark/>
          </w:tcPr>
          <w:p w14:paraId="5BEAA51B" w14:textId="77777777" w:rsidR="00AD60AE" w:rsidRDefault="00AD60AE" w:rsidP="00A873B5">
            <w:pPr>
              <w:jc w:val="right"/>
              <w:rPr>
                <w:rFonts w:ascii="Calibri" w:hAnsi="Calibri" w:cs="Calibri"/>
                <w:b/>
                <w:bCs/>
                <w:color w:val="000000"/>
                <w:sz w:val="20"/>
                <w:szCs w:val="20"/>
              </w:rPr>
            </w:pPr>
            <w:r>
              <w:rPr>
                <w:rFonts w:ascii="Calibri" w:hAnsi="Calibri" w:cs="Calibri"/>
                <w:b/>
                <w:bCs/>
                <w:color w:val="000000"/>
                <w:sz w:val="20"/>
                <w:szCs w:val="20"/>
              </w:rPr>
              <w:t>920.836,71 €</w:t>
            </w:r>
          </w:p>
        </w:tc>
        <w:tc>
          <w:tcPr>
            <w:tcW w:w="1740" w:type="dxa"/>
            <w:tcBorders>
              <w:top w:val="nil"/>
              <w:left w:val="nil"/>
              <w:bottom w:val="single" w:sz="8" w:space="0" w:color="8EA9DB"/>
              <w:right w:val="single" w:sz="8" w:space="0" w:color="8EA9DB"/>
            </w:tcBorders>
            <w:shd w:val="clear" w:color="000000" w:fill="D9E1F2"/>
            <w:noWrap/>
            <w:hideMark/>
          </w:tcPr>
          <w:p w14:paraId="53CCEBED" w14:textId="77777777" w:rsidR="00AD60AE" w:rsidRDefault="00AD60AE" w:rsidP="00A873B5">
            <w:pPr>
              <w:rPr>
                <w:rFonts w:ascii="Calibri" w:hAnsi="Calibri" w:cs="Calibri"/>
                <w:color w:val="000000"/>
              </w:rPr>
            </w:pPr>
            <w:r>
              <w:rPr>
                <w:rFonts w:ascii="Calibri" w:hAnsi="Calibri" w:cs="Calibri"/>
                <w:color w:val="000000"/>
              </w:rPr>
              <w:t> </w:t>
            </w:r>
          </w:p>
        </w:tc>
      </w:tr>
    </w:tbl>
    <w:p w14:paraId="1EE1A565" w14:textId="77777777" w:rsidR="00792472" w:rsidRDefault="00792472" w:rsidP="00792472"/>
    <w:p w14:paraId="575C0053" w14:textId="7F855AC6" w:rsidR="00AD60AE" w:rsidRDefault="00AD60AE" w:rsidP="00AD60AE">
      <w:pPr>
        <w:jc w:val="center"/>
      </w:pPr>
      <w:r>
        <w:rPr>
          <w:noProof/>
        </w:rPr>
        <w:drawing>
          <wp:inline distT="0" distB="0" distL="0" distR="0" wp14:anchorId="39F849FA" wp14:editId="053AD2F7">
            <wp:extent cx="5759450" cy="4429125"/>
            <wp:effectExtent l="0" t="0" r="0" b="0"/>
            <wp:docPr id="7" name="Chart 7">
              <a:extLst xmlns:a="http://schemas.openxmlformats.org/drawingml/2006/main">
                <a:ext uri="{FF2B5EF4-FFF2-40B4-BE49-F238E27FC236}">
                  <a16:creationId xmlns:a16="http://schemas.microsoft.com/office/drawing/2014/main" id="{0384E869-0FA4-4FD8-6810-46BB40021D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192D960" w14:textId="77777777" w:rsidR="00792472" w:rsidRDefault="00792472" w:rsidP="00792472"/>
    <w:p w14:paraId="26876F6B" w14:textId="2247C15D" w:rsidR="00792472" w:rsidRPr="00AD60AE" w:rsidRDefault="00792472" w:rsidP="00AD60AE">
      <w:pPr>
        <w:pStyle w:val="ListParagraph"/>
        <w:numPr>
          <w:ilvl w:val="0"/>
          <w:numId w:val="2"/>
        </w:numPr>
        <w:ind w:left="284" w:hanging="284"/>
        <w:rPr>
          <w:b/>
          <w:bCs/>
        </w:rPr>
      </w:pPr>
      <w:r w:rsidRPr="00AD60AE">
        <w:rPr>
          <w:b/>
          <w:bCs/>
        </w:rPr>
        <w:t>OBRAZLOŽENJE REZULTATA POSLOVANJA</w:t>
      </w:r>
    </w:p>
    <w:p w14:paraId="34CA1411" w14:textId="67C40590" w:rsidR="00792472" w:rsidRDefault="00792472" w:rsidP="00792472">
      <w:r>
        <w:t>U razdoblju od 01.01. do 31.12.2023. godine JVP Grada Krka ostvarila je sijedeći financijski rezultat:</w:t>
      </w:r>
    </w:p>
    <w:tbl>
      <w:tblPr>
        <w:tblW w:w="9498" w:type="dxa"/>
        <w:jc w:val="center"/>
        <w:tblLook w:val="04A0" w:firstRow="1" w:lastRow="0" w:firstColumn="1" w:lastColumn="0" w:noHBand="0" w:noVBand="1"/>
      </w:tblPr>
      <w:tblGrid>
        <w:gridCol w:w="1552"/>
        <w:gridCol w:w="2153"/>
        <w:gridCol w:w="2153"/>
        <w:gridCol w:w="2212"/>
        <w:gridCol w:w="1428"/>
      </w:tblGrid>
      <w:tr w:rsidR="00AD60AE" w:rsidRPr="00455541" w14:paraId="25C100F9" w14:textId="77777777" w:rsidTr="00AD60AE">
        <w:trPr>
          <w:trHeight w:val="297"/>
          <w:jc w:val="center"/>
        </w:trPr>
        <w:tc>
          <w:tcPr>
            <w:tcW w:w="1552" w:type="dxa"/>
            <w:tcBorders>
              <w:top w:val="single" w:sz="8" w:space="0" w:color="auto"/>
              <w:left w:val="single" w:sz="8" w:space="0" w:color="auto"/>
              <w:bottom w:val="single" w:sz="4" w:space="0" w:color="92CDDC"/>
              <w:right w:val="single" w:sz="8" w:space="0" w:color="auto"/>
            </w:tcBorders>
            <w:shd w:val="clear" w:color="4BACC6" w:fill="4BACC6"/>
            <w:vAlign w:val="center"/>
            <w:hideMark/>
          </w:tcPr>
          <w:p w14:paraId="466ADC79" w14:textId="77777777" w:rsidR="00AD60AE" w:rsidRPr="00F20306" w:rsidRDefault="00AD60AE" w:rsidP="00A873B5">
            <w:pPr>
              <w:pStyle w:val="Header"/>
              <w:rPr>
                <w:rFonts w:asciiTheme="minorHAnsi" w:hAnsiTheme="minorHAnsi" w:cstheme="minorHAnsi"/>
                <w:b/>
                <w:bCs/>
                <w:sz w:val="20"/>
                <w:szCs w:val="20"/>
                <w:lang w:val="hr-HR"/>
              </w:rPr>
            </w:pPr>
            <w:r w:rsidRPr="00F20306">
              <w:rPr>
                <w:rFonts w:asciiTheme="minorHAnsi" w:hAnsiTheme="minorHAnsi" w:cstheme="minorHAnsi"/>
                <w:b/>
                <w:bCs/>
                <w:sz w:val="20"/>
                <w:szCs w:val="20"/>
                <w:lang w:val="hr-HR"/>
              </w:rPr>
              <w:t>Opis</w:t>
            </w:r>
          </w:p>
        </w:tc>
        <w:tc>
          <w:tcPr>
            <w:tcW w:w="2153" w:type="dxa"/>
            <w:tcBorders>
              <w:top w:val="single" w:sz="8" w:space="0" w:color="auto"/>
              <w:bottom w:val="single" w:sz="4" w:space="0" w:color="92CDDC"/>
              <w:right w:val="single" w:sz="8" w:space="0" w:color="auto"/>
            </w:tcBorders>
            <w:shd w:val="clear" w:color="4BACC6" w:fill="4BACC6"/>
            <w:vAlign w:val="center"/>
            <w:hideMark/>
          </w:tcPr>
          <w:p w14:paraId="0C98D884" w14:textId="77777777" w:rsidR="00AD60AE" w:rsidRPr="00F20306" w:rsidRDefault="00AD60AE" w:rsidP="00A873B5">
            <w:pPr>
              <w:pStyle w:val="Header"/>
              <w:rPr>
                <w:rFonts w:asciiTheme="minorHAnsi" w:hAnsiTheme="minorHAnsi" w:cstheme="minorHAnsi"/>
                <w:b/>
                <w:bCs/>
                <w:sz w:val="20"/>
                <w:szCs w:val="20"/>
                <w:lang w:val="hr-HR"/>
              </w:rPr>
            </w:pPr>
            <w:r w:rsidRPr="00F20306">
              <w:rPr>
                <w:rFonts w:asciiTheme="minorHAnsi" w:hAnsiTheme="minorHAnsi" w:cstheme="minorHAnsi"/>
                <w:b/>
                <w:bCs/>
                <w:sz w:val="20"/>
                <w:szCs w:val="20"/>
                <w:lang w:val="hr-HR"/>
              </w:rPr>
              <w:t>Ostvareno u 2022.g.</w:t>
            </w:r>
          </w:p>
        </w:tc>
        <w:tc>
          <w:tcPr>
            <w:tcW w:w="2153" w:type="dxa"/>
            <w:tcBorders>
              <w:top w:val="single" w:sz="8" w:space="0" w:color="auto"/>
              <w:bottom w:val="single" w:sz="4" w:space="0" w:color="92CDDC"/>
              <w:right w:val="single" w:sz="8" w:space="0" w:color="auto"/>
            </w:tcBorders>
            <w:shd w:val="clear" w:color="4BACC6" w:fill="4BACC6"/>
            <w:vAlign w:val="center"/>
            <w:hideMark/>
          </w:tcPr>
          <w:p w14:paraId="5EB6E92A" w14:textId="77777777" w:rsidR="00AD60AE" w:rsidRPr="00F20306" w:rsidRDefault="00AD60AE" w:rsidP="00A873B5">
            <w:pPr>
              <w:pStyle w:val="Header"/>
              <w:rPr>
                <w:rFonts w:asciiTheme="minorHAnsi" w:hAnsiTheme="minorHAnsi" w:cstheme="minorHAnsi"/>
                <w:b/>
                <w:bCs/>
                <w:sz w:val="20"/>
                <w:szCs w:val="20"/>
                <w:lang w:val="hr-HR"/>
              </w:rPr>
            </w:pPr>
            <w:r w:rsidRPr="00F20306">
              <w:rPr>
                <w:rFonts w:asciiTheme="minorHAnsi" w:hAnsiTheme="minorHAnsi" w:cstheme="minorHAnsi"/>
                <w:b/>
                <w:bCs/>
                <w:sz w:val="20"/>
                <w:szCs w:val="20"/>
                <w:lang w:val="hr-HR"/>
              </w:rPr>
              <w:t>Planirano u 2023.g.</w:t>
            </w:r>
          </w:p>
        </w:tc>
        <w:tc>
          <w:tcPr>
            <w:tcW w:w="2212" w:type="dxa"/>
            <w:tcBorders>
              <w:top w:val="single" w:sz="8" w:space="0" w:color="auto"/>
              <w:bottom w:val="single" w:sz="4" w:space="0" w:color="92CDDC"/>
              <w:right w:val="single" w:sz="4" w:space="0" w:color="auto"/>
            </w:tcBorders>
            <w:shd w:val="clear" w:color="4BACC6" w:fill="4BACC6"/>
            <w:vAlign w:val="center"/>
            <w:hideMark/>
          </w:tcPr>
          <w:p w14:paraId="2A1BC65A" w14:textId="77777777" w:rsidR="00AD60AE" w:rsidRPr="00F20306" w:rsidRDefault="00AD60AE" w:rsidP="00A873B5">
            <w:pPr>
              <w:pStyle w:val="Header"/>
              <w:rPr>
                <w:rFonts w:asciiTheme="minorHAnsi" w:hAnsiTheme="minorHAnsi" w:cstheme="minorHAnsi"/>
                <w:b/>
                <w:bCs/>
                <w:sz w:val="20"/>
                <w:szCs w:val="20"/>
                <w:lang w:val="hr-HR"/>
              </w:rPr>
            </w:pPr>
            <w:r w:rsidRPr="00F20306">
              <w:rPr>
                <w:rFonts w:asciiTheme="minorHAnsi" w:hAnsiTheme="minorHAnsi" w:cstheme="minorHAnsi"/>
                <w:b/>
                <w:bCs/>
                <w:sz w:val="20"/>
                <w:szCs w:val="20"/>
                <w:lang w:val="hr-HR"/>
              </w:rPr>
              <w:t>Ostvareno u 2023.g.</w:t>
            </w:r>
          </w:p>
        </w:tc>
        <w:tc>
          <w:tcPr>
            <w:tcW w:w="1428" w:type="dxa"/>
            <w:tcBorders>
              <w:top w:val="single" w:sz="4" w:space="0" w:color="auto"/>
              <w:left w:val="single" w:sz="4" w:space="0" w:color="auto"/>
              <w:bottom w:val="single" w:sz="4" w:space="0" w:color="auto"/>
              <w:right w:val="single" w:sz="4" w:space="0" w:color="auto"/>
            </w:tcBorders>
            <w:shd w:val="clear" w:color="4BACC6" w:fill="4BACC6"/>
            <w:noWrap/>
            <w:vAlign w:val="center"/>
            <w:hideMark/>
          </w:tcPr>
          <w:p w14:paraId="06953939" w14:textId="77777777" w:rsidR="00AD60AE" w:rsidRPr="00F20306" w:rsidRDefault="00AD60AE" w:rsidP="00A873B5">
            <w:pPr>
              <w:pStyle w:val="Header"/>
              <w:rPr>
                <w:rFonts w:asciiTheme="minorHAnsi" w:hAnsiTheme="minorHAnsi" w:cstheme="minorHAnsi"/>
                <w:b/>
                <w:bCs/>
                <w:sz w:val="20"/>
                <w:szCs w:val="20"/>
                <w:lang w:val="hr-HR"/>
              </w:rPr>
            </w:pPr>
            <w:r w:rsidRPr="00F20306">
              <w:rPr>
                <w:rFonts w:asciiTheme="minorHAnsi" w:hAnsiTheme="minorHAnsi" w:cstheme="minorHAnsi"/>
                <w:b/>
                <w:bCs/>
                <w:sz w:val="20"/>
                <w:szCs w:val="20"/>
                <w:lang w:val="hr-HR"/>
              </w:rPr>
              <w:t>Indeks 2023./2022.</w:t>
            </w:r>
          </w:p>
        </w:tc>
      </w:tr>
      <w:tr w:rsidR="00AD60AE" w:rsidRPr="00455541" w14:paraId="66E26475" w14:textId="77777777" w:rsidTr="00AD60AE">
        <w:trPr>
          <w:trHeight w:val="855"/>
          <w:jc w:val="center"/>
        </w:trPr>
        <w:tc>
          <w:tcPr>
            <w:tcW w:w="1552" w:type="dxa"/>
            <w:tcBorders>
              <w:top w:val="single" w:sz="4" w:space="0" w:color="auto"/>
              <w:left w:val="single" w:sz="8" w:space="0" w:color="auto"/>
              <w:bottom w:val="single" w:sz="4" w:space="0" w:color="auto"/>
              <w:right w:val="single" w:sz="4" w:space="0" w:color="auto"/>
            </w:tcBorders>
            <w:shd w:val="clear" w:color="DAEEF3" w:fill="DAEEF3"/>
            <w:vAlign w:val="center"/>
            <w:hideMark/>
          </w:tcPr>
          <w:p w14:paraId="784F0BF2"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Prihodi poslovanja</w:t>
            </w:r>
          </w:p>
        </w:tc>
        <w:tc>
          <w:tcPr>
            <w:tcW w:w="2153" w:type="dxa"/>
            <w:tcBorders>
              <w:top w:val="single" w:sz="4" w:space="0" w:color="auto"/>
              <w:left w:val="single" w:sz="4" w:space="0" w:color="auto"/>
              <w:bottom w:val="single" w:sz="4" w:space="0" w:color="auto"/>
              <w:right w:val="single" w:sz="4" w:space="0" w:color="auto"/>
            </w:tcBorders>
            <w:shd w:val="clear" w:color="DAEEF3" w:fill="DAEEF3"/>
            <w:noWrap/>
            <w:vAlign w:val="center"/>
            <w:hideMark/>
          </w:tcPr>
          <w:p w14:paraId="0B8A4BA9"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805.662,91 €</w:t>
            </w:r>
          </w:p>
        </w:tc>
        <w:tc>
          <w:tcPr>
            <w:tcW w:w="2153" w:type="dxa"/>
            <w:tcBorders>
              <w:top w:val="single" w:sz="4" w:space="0" w:color="auto"/>
              <w:left w:val="single" w:sz="4" w:space="0" w:color="auto"/>
              <w:bottom w:val="single" w:sz="4" w:space="0" w:color="auto"/>
              <w:right w:val="single" w:sz="4" w:space="0" w:color="auto"/>
            </w:tcBorders>
            <w:shd w:val="clear" w:color="DAEEF3" w:fill="DAEEF3"/>
            <w:vAlign w:val="center"/>
            <w:hideMark/>
          </w:tcPr>
          <w:p w14:paraId="538558E7"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963.882,61 €</w:t>
            </w:r>
          </w:p>
        </w:tc>
        <w:tc>
          <w:tcPr>
            <w:tcW w:w="2212" w:type="dxa"/>
            <w:tcBorders>
              <w:top w:val="single" w:sz="4" w:space="0" w:color="auto"/>
              <w:left w:val="single" w:sz="4" w:space="0" w:color="auto"/>
              <w:bottom w:val="single" w:sz="4" w:space="0" w:color="auto"/>
              <w:right w:val="single" w:sz="4" w:space="0" w:color="auto"/>
            </w:tcBorders>
            <w:shd w:val="clear" w:color="DAEEF3" w:fill="DAEEF3"/>
            <w:noWrap/>
            <w:vAlign w:val="center"/>
            <w:hideMark/>
          </w:tcPr>
          <w:p w14:paraId="3DB06CD6"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915.832,30 €</w:t>
            </w:r>
          </w:p>
        </w:tc>
        <w:tc>
          <w:tcPr>
            <w:tcW w:w="1428" w:type="dxa"/>
            <w:tcBorders>
              <w:top w:val="single" w:sz="4" w:space="0" w:color="auto"/>
              <w:left w:val="single" w:sz="4" w:space="0" w:color="auto"/>
              <w:bottom w:val="single" w:sz="4" w:space="0" w:color="auto"/>
              <w:right w:val="single" w:sz="8" w:space="0" w:color="auto"/>
            </w:tcBorders>
            <w:shd w:val="clear" w:color="DAEEF3" w:fill="DAEEF3"/>
            <w:vAlign w:val="center"/>
            <w:hideMark/>
          </w:tcPr>
          <w:p w14:paraId="344C1C31"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113,67%</w:t>
            </w:r>
          </w:p>
        </w:tc>
      </w:tr>
      <w:tr w:rsidR="00AD60AE" w:rsidRPr="00455541" w14:paraId="3C4F87AE" w14:textId="77777777" w:rsidTr="00AD60AE">
        <w:trPr>
          <w:trHeight w:val="1263"/>
          <w:jc w:val="center"/>
        </w:trPr>
        <w:tc>
          <w:tcPr>
            <w:tcW w:w="1552" w:type="dxa"/>
            <w:tcBorders>
              <w:top w:val="single" w:sz="4" w:space="0" w:color="auto"/>
              <w:left w:val="single" w:sz="8" w:space="0" w:color="auto"/>
              <w:bottom w:val="single" w:sz="4" w:space="0" w:color="auto"/>
              <w:right w:val="single" w:sz="4" w:space="0" w:color="auto"/>
            </w:tcBorders>
            <w:vAlign w:val="center"/>
            <w:hideMark/>
          </w:tcPr>
          <w:p w14:paraId="1634C27C"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Prihodi od prodaje nefinancijske imovine</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0115CAB2"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0,00 €</w:t>
            </w:r>
          </w:p>
        </w:tc>
        <w:tc>
          <w:tcPr>
            <w:tcW w:w="2153" w:type="dxa"/>
            <w:tcBorders>
              <w:top w:val="single" w:sz="4" w:space="0" w:color="auto"/>
              <w:left w:val="single" w:sz="4" w:space="0" w:color="auto"/>
              <w:bottom w:val="single" w:sz="4" w:space="0" w:color="auto"/>
              <w:right w:val="single" w:sz="4" w:space="0" w:color="auto"/>
            </w:tcBorders>
            <w:vAlign w:val="center"/>
            <w:hideMark/>
          </w:tcPr>
          <w:p w14:paraId="3C0DB241"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0,00 €</w:t>
            </w:r>
          </w:p>
        </w:tc>
        <w:tc>
          <w:tcPr>
            <w:tcW w:w="2212" w:type="dxa"/>
            <w:tcBorders>
              <w:top w:val="single" w:sz="4" w:space="0" w:color="auto"/>
              <w:left w:val="single" w:sz="4" w:space="0" w:color="auto"/>
              <w:bottom w:val="single" w:sz="4" w:space="0" w:color="auto"/>
              <w:right w:val="single" w:sz="4" w:space="0" w:color="auto"/>
            </w:tcBorders>
            <w:noWrap/>
            <w:vAlign w:val="center"/>
            <w:hideMark/>
          </w:tcPr>
          <w:p w14:paraId="747C4C2A"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0,00 €</w:t>
            </w:r>
          </w:p>
        </w:tc>
        <w:tc>
          <w:tcPr>
            <w:tcW w:w="1428" w:type="dxa"/>
            <w:tcBorders>
              <w:top w:val="single" w:sz="4" w:space="0" w:color="auto"/>
              <w:left w:val="single" w:sz="4" w:space="0" w:color="auto"/>
              <w:bottom w:val="single" w:sz="4" w:space="0" w:color="auto"/>
              <w:right w:val="single" w:sz="8" w:space="0" w:color="auto"/>
            </w:tcBorders>
            <w:vAlign w:val="center"/>
            <w:hideMark/>
          </w:tcPr>
          <w:p w14:paraId="5F82E9C8"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0,00%</w:t>
            </w:r>
          </w:p>
        </w:tc>
      </w:tr>
      <w:tr w:rsidR="00AD60AE" w:rsidRPr="00455541" w14:paraId="432A0503" w14:textId="77777777" w:rsidTr="00AD60AE">
        <w:trPr>
          <w:trHeight w:val="606"/>
          <w:jc w:val="center"/>
        </w:trPr>
        <w:tc>
          <w:tcPr>
            <w:tcW w:w="1552" w:type="dxa"/>
            <w:tcBorders>
              <w:top w:val="single" w:sz="4" w:space="0" w:color="auto"/>
              <w:left w:val="single" w:sz="8" w:space="0" w:color="auto"/>
              <w:bottom w:val="single" w:sz="4" w:space="0" w:color="auto"/>
              <w:right w:val="single" w:sz="4" w:space="0" w:color="auto"/>
            </w:tcBorders>
            <w:shd w:val="clear" w:color="DAEEF3" w:fill="DAEEF3"/>
            <w:vAlign w:val="center"/>
            <w:hideMark/>
          </w:tcPr>
          <w:p w14:paraId="5214F8E0"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lastRenderedPageBreak/>
              <w:t>Ukupni prihodi:</w:t>
            </w:r>
          </w:p>
        </w:tc>
        <w:tc>
          <w:tcPr>
            <w:tcW w:w="2153" w:type="dxa"/>
            <w:tcBorders>
              <w:top w:val="single" w:sz="4" w:space="0" w:color="auto"/>
              <w:left w:val="single" w:sz="4" w:space="0" w:color="auto"/>
              <w:bottom w:val="single" w:sz="4" w:space="0" w:color="auto"/>
              <w:right w:val="single" w:sz="4" w:space="0" w:color="auto"/>
            </w:tcBorders>
            <w:shd w:val="clear" w:color="DAEEF3" w:fill="DAEEF3"/>
            <w:noWrap/>
            <w:vAlign w:val="center"/>
            <w:hideMark/>
          </w:tcPr>
          <w:p w14:paraId="099C7AFA"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805.662,91 €</w:t>
            </w:r>
          </w:p>
        </w:tc>
        <w:tc>
          <w:tcPr>
            <w:tcW w:w="2153" w:type="dxa"/>
            <w:tcBorders>
              <w:top w:val="single" w:sz="4" w:space="0" w:color="auto"/>
              <w:left w:val="single" w:sz="4" w:space="0" w:color="auto"/>
              <w:bottom w:val="single" w:sz="4" w:space="0" w:color="auto"/>
              <w:right w:val="single" w:sz="4" w:space="0" w:color="auto"/>
            </w:tcBorders>
            <w:shd w:val="clear" w:color="DAEEF3" w:fill="DAEEF3"/>
            <w:vAlign w:val="center"/>
            <w:hideMark/>
          </w:tcPr>
          <w:p w14:paraId="532674E1"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963.882,61 €</w:t>
            </w:r>
          </w:p>
        </w:tc>
        <w:tc>
          <w:tcPr>
            <w:tcW w:w="2212" w:type="dxa"/>
            <w:tcBorders>
              <w:top w:val="single" w:sz="4" w:space="0" w:color="auto"/>
              <w:left w:val="single" w:sz="4" w:space="0" w:color="auto"/>
              <w:bottom w:val="single" w:sz="4" w:space="0" w:color="auto"/>
              <w:right w:val="single" w:sz="4" w:space="0" w:color="auto"/>
            </w:tcBorders>
            <w:shd w:val="clear" w:color="DAEEF3" w:fill="DAEEF3"/>
            <w:noWrap/>
            <w:vAlign w:val="center"/>
            <w:hideMark/>
          </w:tcPr>
          <w:p w14:paraId="055EAE17"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915.832,30 €</w:t>
            </w:r>
          </w:p>
        </w:tc>
        <w:tc>
          <w:tcPr>
            <w:tcW w:w="1428" w:type="dxa"/>
            <w:tcBorders>
              <w:top w:val="single" w:sz="4" w:space="0" w:color="auto"/>
              <w:left w:val="single" w:sz="4" w:space="0" w:color="auto"/>
              <w:bottom w:val="single" w:sz="4" w:space="0" w:color="auto"/>
              <w:right w:val="single" w:sz="8" w:space="0" w:color="auto"/>
            </w:tcBorders>
            <w:shd w:val="clear" w:color="DAEEF3" w:fill="DAEEF3"/>
            <w:vAlign w:val="center"/>
            <w:hideMark/>
          </w:tcPr>
          <w:p w14:paraId="1C494D5F"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113,67%</w:t>
            </w:r>
          </w:p>
        </w:tc>
      </w:tr>
      <w:tr w:rsidR="00AD60AE" w:rsidRPr="00455541" w14:paraId="3FFA12B8" w14:textId="77777777" w:rsidTr="00AD60AE">
        <w:trPr>
          <w:trHeight w:val="1303"/>
          <w:jc w:val="center"/>
        </w:trPr>
        <w:tc>
          <w:tcPr>
            <w:tcW w:w="1552" w:type="dxa"/>
            <w:tcBorders>
              <w:top w:val="single" w:sz="4" w:space="0" w:color="auto"/>
              <w:left w:val="single" w:sz="8" w:space="0" w:color="auto"/>
              <w:bottom w:val="single" w:sz="4" w:space="0" w:color="auto"/>
              <w:right w:val="single" w:sz="4" w:space="0" w:color="auto"/>
            </w:tcBorders>
            <w:vAlign w:val="center"/>
            <w:hideMark/>
          </w:tcPr>
          <w:p w14:paraId="3E0F1337"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Primici od financijske imovine-kratkoročni robni zajam</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6360F7A0"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0,00 €</w:t>
            </w:r>
          </w:p>
        </w:tc>
        <w:tc>
          <w:tcPr>
            <w:tcW w:w="2153" w:type="dxa"/>
            <w:tcBorders>
              <w:top w:val="single" w:sz="4" w:space="0" w:color="auto"/>
              <w:left w:val="single" w:sz="4" w:space="0" w:color="auto"/>
              <w:bottom w:val="single" w:sz="4" w:space="0" w:color="auto"/>
              <w:right w:val="single" w:sz="4" w:space="0" w:color="auto"/>
            </w:tcBorders>
            <w:vAlign w:val="center"/>
            <w:hideMark/>
          </w:tcPr>
          <w:p w14:paraId="1A089C61"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0,00 €</w:t>
            </w:r>
          </w:p>
        </w:tc>
        <w:tc>
          <w:tcPr>
            <w:tcW w:w="2212" w:type="dxa"/>
            <w:tcBorders>
              <w:top w:val="single" w:sz="4" w:space="0" w:color="auto"/>
              <w:left w:val="single" w:sz="4" w:space="0" w:color="auto"/>
              <w:bottom w:val="single" w:sz="4" w:space="0" w:color="auto"/>
              <w:right w:val="single" w:sz="4" w:space="0" w:color="auto"/>
            </w:tcBorders>
            <w:noWrap/>
            <w:vAlign w:val="center"/>
            <w:hideMark/>
          </w:tcPr>
          <w:p w14:paraId="5763F440"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0,00 €</w:t>
            </w:r>
          </w:p>
        </w:tc>
        <w:tc>
          <w:tcPr>
            <w:tcW w:w="1428" w:type="dxa"/>
            <w:tcBorders>
              <w:top w:val="single" w:sz="4" w:space="0" w:color="auto"/>
              <w:left w:val="single" w:sz="4" w:space="0" w:color="auto"/>
              <w:bottom w:val="single" w:sz="4" w:space="0" w:color="auto"/>
              <w:right w:val="single" w:sz="8" w:space="0" w:color="auto"/>
            </w:tcBorders>
            <w:vAlign w:val="center"/>
            <w:hideMark/>
          </w:tcPr>
          <w:p w14:paraId="309E323D"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0,00%</w:t>
            </w:r>
          </w:p>
        </w:tc>
      </w:tr>
      <w:tr w:rsidR="00AD60AE" w:rsidRPr="00455541" w14:paraId="6C081495" w14:textId="77777777" w:rsidTr="00AD60AE">
        <w:trPr>
          <w:trHeight w:val="914"/>
          <w:jc w:val="center"/>
        </w:trPr>
        <w:tc>
          <w:tcPr>
            <w:tcW w:w="1552" w:type="dxa"/>
            <w:tcBorders>
              <w:top w:val="single" w:sz="4" w:space="0" w:color="auto"/>
              <w:left w:val="single" w:sz="8" w:space="0" w:color="auto"/>
              <w:bottom w:val="single" w:sz="4" w:space="0" w:color="auto"/>
              <w:right w:val="single" w:sz="4" w:space="0" w:color="auto"/>
            </w:tcBorders>
            <w:shd w:val="clear" w:color="DAEEF3" w:fill="DAEEF3"/>
            <w:vAlign w:val="center"/>
            <w:hideMark/>
          </w:tcPr>
          <w:p w14:paraId="77ACFE66" w14:textId="77777777" w:rsidR="00AD60AE" w:rsidRPr="00F20306" w:rsidRDefault="00AD60AE" w:rsidP="00A873B5">
            <w:pPr>
              <w:pStyle w:val="Header"/>
              <w:jc w:val="center"/>
              <w:rPr>
                <w:rFonts w:asciiTheme="minorHAnsi" w:hAnsiTheme="minorHAnsi" w:cstheme="minorHAnsi"/>
                <w:b/>
                <w:bCs/>
                <w:sz w:val="20"/>
                <w:szCs w:val="20"/>
                <w:lang w:val="hr-HR"/>
              </w:rPr>
            </w:pPr>
            <w:r w:rsidRPr="00F20306">
              <w:rPr>
                <w:rFonts w:asciiTheme="minorHAnsi" w:hAnsiTheme="minorHAnsi" w:cstheme="minorHAnsi"/>
                <w:b/>
                <w:bCs/>
                <w:sz w:val="20"/>
                <w:szCs w:val="20"/>
                <w:lang w:val="hr-HR"/>
              </w:rPr>
              <w:t>Ukupni prihodi i primici</w:t>
            </w:r>
          </w:p>
        </w:tc>
        <w:tc>
          <w:tcPr>
            <w:tcW w:w="2153" w:type="dxa"/>
            <w:tcBorders>
              <w:top w:val="single" w:sz="4" w:space="0" w:color="auto"/>
              <w:left w:val="single" w:sz="4" w:space="0" w:color="auto"/>
              <w:bottom w:val="single" w:sz="4" w:space="0" w:color="auto"/>
              <w:right w:val="single" w:sz="4" w:space="0" w:color="auto"/>
            </w:tcBorders>
            <w:shd w:val="clear" w:color="DAEEF3" w:fill="DAEEF3"/>
            <w:noWrap/>
            <w:vAlign w:val="center"/>
            <w:hideMark/>
          </w:tcPr>
          <w:p w14:paraId="42A87BED" w14:textId="77777777" w:rsidR="00AD60AE" w:rsidRPr="00F20306" w:rsidRDefault="00AD60AE" w:rsidP="00A873B5">
            <w:pPr>
              <w:pStyle w:val="Header"/>
              <w:jc w:val="center"/>
              <w:rPr>
                <w:rFonts w:asciiTheme="minorHAnsi" w:hAnsiTheme="minorHAnsi" w:cstheme="minorHAnsi"/>
                <w:b/>
                <w:bCs/>
                <w:sz w:val="20"/>
                <w:szCs w:val="20"/>
                <w:lang w:val="hr-HR"/>
              </w:rPr>
            </w:pPr>
            <w:r w:rsidRPr="00F20306">
              <w:rPr>
                <w:rFonts w:asciiTheme="minorHAnsi" w:hAnsiTheme="minorHAnsi" w:cstheme="minorHAnsi"/>
                <w:b/>
                <w:bCs/>
                <w:sz w:val="20"/>
                <w:szCs w:val="20"/>
                <w:lang w:val="hr-HR"/>
              </w:rPr>
              <w:t>805.662,91 €</w:t>
            </w:r>
          </w:p>
        </w:tc>
        <w:tc>
          <w:tcPr>
            <w:tcW w:w="2153" w:type="dxa"/>
            <w:tcBorders>
              <w:top w:val="single" w:sz="4" w:space="0" w:color="auto"/>
              <w:left w:val="single" w:sz="4" w:space="0" w:color="auto"/>
              <w:bottom w:val="single" w:sz="4" w:space="0" w:color="auto"/>
              <w:right w:val="single" w:sz="4" w:space="0" w:color="auto"/>
            </w:tcBorders>
            <w:shd w:val="clear" w:color="DAEEF3" w:fill="DAEEF3"/>
            <w:vAlign w:val="center"/>
            <w:hideMark/>
          </w:tcPr>
          <w:p w14:paraId="54A70A17" w14:textId="77777777" w:rsidR="00AD60AE" w:rsidRPr="00F20306" w:rsidRDefault="00AD60AE" w:rsidP="00A873B5">
            <w:pPr>
              <w:pStyle w:val="Header"/>
              <w:jc w:val="center"/>
              <w:rPr>
                <w:rFonts w:asciiTheme="minorHAnsi" w:hAnsiTheme="minorHAnsi" w:cstheme="minorHAnsi"/>
                <w:b/>
                <w:bCs/>
                <w:sz w:val="20"/>
                <w:szCs w:val="20"/>
                <w:lang w:val="hr-HR"/>
              </w:rPr>
            </w:pPr>
            <w:r w:rsidRPr="00F20306">
              <w:rPr>
                <w:rFonts w:asciiTheme="minorHAnsi" w:hAnsiTheme="minorHAnsi" w:cstheme="minorHAnsi"/>
                <w:b/>
                <w:bCs/>
                <w:sz w:val="20"/>
                <w:szCs w:val="20"/>
                <w:lang w:val="hr-HR"/>
              </w:rPr>
              <w:t>963.882,61 €</w:t>
            </w:r>
          </w:p>
        </w:tc>
        <w:tc>
          <w:tcPr>
            <w:tcW w:w="2212" w:type="dxa"/>
            <w:tcBorders>
              <w:top w:val="single" w:sz="4" w:space="0" w:color="auto"/>
              <w:left w:val="single" w:sz="4" w:space="0" w:color="auto"/>
              <w:bottom w:val="single" w:sz="4" w:space="0" w:color="auto"/>
              <w:right w:val="single" w:sz="4" w:space="0" w:color="auto"/>
            </w:tcBorders>
            <w:shd w:val="clear" w:color="DAEEF3" w:fill="DAEEF3"/>
            <w:noWrap/>
            <w:vAlign w:val="center"/>
            <w:hideMark/>
          </w:tcPr>
          <w:p w14:paraId="273AE9C7" w14:textId="77777777" w:rsidR="00AD60AE" w:rsidRPr="00F20306" w:rsidRDefault="00AD60AE" w:rsidP="00A873B5">
            <w:pPr>
              <w:pStyle w:val="Header"/>
              <w:jc w:val="center"/>
              <w:rPr>
                <w:rFonts w:asciiTheme="minorHAnsi" w:hAnsiTheme="minorHAnsi" w:cstheme="minorHAnsi"/>
                <w:b/>
                <w:bCs/>
                <w:sz w:val="20"/>
                <w:szCs w:val="20"/>
                <w:lang w:val="hr-HR"/>
              </w:rPr>
            </w:pPr>
            <w:r w:rsidRPr="00F20306">
              <w:rPr>
                <w:rFonts w:asciiTheme="minorHAnsi" w:hAnsiTheme="minorHAnsi" w:cstheme="minorHAnsi"/>
                <w:b/>
                <w:bCs/>
                <w:sz w:val="20"/>
                <w:szCs w:val="20"/>
                <w:lang w:val="hr-HR"/>
              </w:rPr>
              <w:t>915.832,30 €</w:t>
            </w:r>
          </w:p>
        </w:tc>
        <w:tc>
          <w:tcPr>
            <w:tcW w:w="1428" w:type="dxa"/>
            <w:tcBorders>
              <w:top w:val="single" w:sz="4" w:space="0" w:color="auto"/>
              <w:left w:val="single" w:sz="4" w:space="0" w:color="auto"/>
              <w:bottom w:val="single" w:sz="4" w:space="0" w:color="auto"/>
              <w:right w:val="single" w:sz="8" w:space="0" w:color="auto"/>
            </w:tcBorders>
            <w:shd w:val="clear" w:color="DAEEF3" w:fill="DAEEF3"/>
            <w:vAlign w:val="center"/>
            <w:hideMark/>
          </w:tcPr>
          <w:p w14:paraId="1A272D78" w14:textId="77777777" w:rsidR="00AD60AE" w:rsidRPr="00F20306" w:rsidRDefault="00AD60AE" w:rsidP="00A873B5">
            <w:pPr>
              <w:pStyle w:val="Header"/>
              <w:jc w:val="center"/>
              <w:rPr>
                <w:rFonts w:asciiTheme="minorHAnsi" w:hAnsiTheme="minorHAnsi" w:cstheme="minorHAnsi"/>
                <w:b/>
                <w:bCs/>
                <w:sz w:val="20"/>
                <w:szCs w:val="20"/>
                <w:lang w:val="hr-HR"/>
              </w:rPr>
            </w:pPr>
            <w:r w:rsidRPr="00F20306">
              <w:rPr>
                <w:rFonts w:asciiTheme="minorHAnsi" w:hAnsiTheme="minorHAnsi" w:cstheme="minorHAnsi"/>
                <w:b/>
                <w:bCs/>
                <w:sz w:val="20"/>
                <w:szCs w:val="20"/>
                <w:lang w:val="hr-HR"/>
              </w:rPr>
              <w:t>113,67%</w:t>
            </w:r>
          </w:p>
        </w:tc>
      </w:tr>
      <w:tr w:rsidR="00AD60AE" w:rsidRPr="00455541" w14:paraId="19AEA32B" w14:textId="77777777" w:rsidTr="00AD60AE">
        <w:trPr>
          <w:trHeight w:val="594"/>
          <w:jc w:val="center"/>
        </w:trPr>
        <w:tc>
          <w:tcPr>
            <w:tcW w:w="1552" w:type="dxa"/>
            <w:tcBorders>
              <w:top w:val="single" w:sz="4" w:space="0" w:color="auto"/>
              <w:left w:val="single" w:sz="8" w:space="0" w:color="auto"/>
              <w:bottom w:val="single" w:sz="4" w:space="0" w:color="auto"/>
              <w:right w:val="single" w:sz="4" w:space="0" w:color="auto"/>
            </w:tcBorders>
            <w:vAlign w:val="center"/>
            <w:hideMark/>
          </w:tcPr>
          <w:p w14:paraId="0D0A769E"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Rashodi poslovanja</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657540D2"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768.450,88 €</w:t>
            </w:r>
          </w:p>
        </w:tc>
        <w:tc>
          <w:tcPr>
            <w:tcW w:w="2153" w:type="dxa"/>
            <w:tcBorders>
              <w:top w:val="single" w:sz="4" w:space="0" w:color="auto"/>
              <w:left w:val="single" w:sz="4" w:space="0" w:color="auto"/>
              <w:bottom w:val="single" w:sz="4" w:space="0" w:color="auto"/>
              <w:right w:val="single" w:sz="4" w:space="0" w:color="auto"/>
            </w:tcBorders>
            <w:vAlign w:val="center"/>
            <w:hideMark/>
          </w:tcPr>
          <w:p w14:paraId="5E44A5AF"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934.625,91 €</w:t>
            </w:r>
          </w:p>
        </w:tc>
        <w:tc>
          <w:tcPr>
            <w:tcW w:w="2212" w:type="dxa"/>
            <w:tcBorders>
              <w:top w:val="single" w:sz="4" w:space="0" w:color="auto"/>
              <w:left w:val="single" w:sz="4" w:space="0" w:color="auto"/>
              <w:bottom w:val="single" w:sz="4" w:space="0" w:color="auto"/>
              <w:right w:val="single" w:sz="4" w:space="0" w:color="auto"/>
            </w:tcBorders>
            <w:noWrap/>
            <w:vAlign w:val="center"/>
            <w:hideMark/>
          </w:tcPr>
          <w:p w14:paraId="0A950BE9"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885.594,95 €</w:t>
            </w:r>
          </w:p>
        </w:tc>
        <w:tc>
          <w:tcPr>
            <w:tcW w:w="1428" w:type="dxa"/>
            <w:tcBorders>
              <w:top w:val="single" w:sz="4" w:space="0" w:color="auto"/>
              <w:left w:val="single" w:sz="4" w:space="0" w:color="auto"/>
              <w:bottom w:val="single" w:sz="4" w:space="0" w:color="auto"/>
              <w:right w:val="single" w:sz="8" w:space="0" w:color="auto"/>
            </w:tcBorders>
            <w:vAlign w:val="center"/>
            <w:hideMark/>
          </w:tcPr>
          <w:p w14:paraId="12F69B40"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115,24%</w:t>
            </w:r>
          </w:p>
        </w:tc>
      </w:tr>
      <w:tr w:rsidR="00AD60AE" w:rsidRPr="00455541" w14:paraId="3812372B" w14:textId="77777777" w:rsidTr="00AD60AE">
        <w:trPr>
          <w:trHeight w:val="1129"/>
          <w:jc w:val="center"/>
        </w:trPr>
        <w:tc>
          <w:tcPr>
            <w:tcW w:w="1552" w:type="dxa"/>
            <w:tcBorders>
              <w:top w:val="single" w:sz="4" w:space="0" w:color="auto"/>
              <w:left w:val="single" w:sz="8" w:space="0" w:color="auto"/>
              <w:bottom w:val="single" w:sz="4" w:space="0" w:color="auto"/>
              <w:right w:val="single" w:sz="4" w:space="0" w:color="auto"/>
            </w:tcBorders>
            <w:shd w:val="clear" w:color="DAEEF3" w:fill="DAEEF3"/>
            <w:vAlign w:val="center"/>
            <w:hideMark/>
          </w:tcPr>
          <w:p w14:paraId="5BB675F2"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Rashodi za nabavu nefinancijske imovine</w:t>
            </w:r>
          </w:p>
        </w:tc>
        <w:tc>
          <w:tcPr>
            <w:tcW w:w="2153" w:type="dxa"/>
            <w:tcBorders>
              <w:top w:val="single" w:sz="4" w:space="0" w:color="auto"/>
              <w:left w:val="single" w:sz="4" w:space="0" w:color="auto"/>
              <w:bottom w:val="single" w:sz="4" w:space="0" w:color="auto"/>
              <w:right w:val="single" w:sz="4" w:space="0" w:color="auto"/>
            </w:tcBorders>
            <w:shd w:val="clear" w:color="DAEEF3" w:fill="DAEEF3"/>
            <w:noWrap/>
            <w:vAlign w:val="center"/>
            <w:hideMark/>
          </w:tcPr>
          <w:p w14:paraId="01D7B024"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33.734,96 €</w:t>
            </w:r>
          </w:p>
        </w:tc>
        <w:tc>
          <w:tcPr>
            <w:tcW w:w="2153" w:type="dxa"/>
            <w:tcBorders>
              <w:top w:val="single" w:sz="4" w:space="0" w:color="auto"/>
              <w:left w:val="single" w:sz="4" w:space="0" w:color="auto"/>
              <w:bottom w:val="single" w:sz="4" w:space="0" w:color="auto"/>
              <w:right w:val="single" w:sz="4" w:space="0" w:color="auto"/>
            </w:tcBorders>
            <w:shd w:val="clear" w:color="DAEEF3" w:fill="DAEEF3"/>
            <w:vAlign w:val="center"/>
            <w:hideMark/>
          </w:tcPr>
          <w:p w14:paraId="4A8D05C8"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58.570,00 €</w:t>
            </w:r>
          </w:p>
        </w:tc>
        <w:tc>
          <w:tcPr>
            <w:tcW w:w="2212" w:type="dxa"/>
            <w:tcBorders>
              <w:top w:val="single" w:sz="4" w:space="0" w:color="auto"/>
              <w:left w:val="single" w:sz="4" w:space="0" w:color="auto"/>
              <w:bottom w:val="single" w:sz="4" w:space="0" w:color="auto"/>
              <w:right w:val="single" w:sz="4" w:space="0" w:color="auto"/>
            </w:tcBorders>
            <w:shd w:val="clear" w:color="DAEEF3" w:fill="DAEEF3"/>
            <w:noWrap/>
            <w:vAlign w:val="center"/>
            <w:hideMark/>
          </w:tcPr>
          <w:p w14:paraId="1F23A60C"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35.241,76 €</w:t>
            </w:r>
          </w:p>
        </w:tc>
        <w:tc>
          <w:tcPr>
            <w:tcW w:w="1428" w:type="dxa"/>
            <w:tcBorders>
              <w:top w:val="single" w:sz="4" w:space="0" w:color="auto"/>
              <w:left w:val="single" w:sz="4" w:space="0" w:color="auto"/>
              <w:bottom w:val="single" w:sz="4" w:space="0" w:color="auto"/>
              <w:right w:val="single" w:sz="8" w:space="0" w:color="auto"/>
            </w:tcBorders>
            <w:shd w:val="clear" w:color="DAEEF3" w:fill="DAEEF3"/>
            <w:vAlign w:val="center"/>
            <w:hideMark/>
          </w:tcPr>
          <w:p w14:paraId="35A5E36A"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104,47%</w:t>
            </w:r>
          </w:p>
        </w:tc>
      </w:tr>
      <w:tr w:rsidR="00AD60AE" w:rsidRPr="00455541" w14:paraId="0DB1A3E5" w14:textId="77777777" w:rsidTr="00AD60AE">
        <w:trPr>
          <w:trHeight w:val="1185"/>
          <w:jc w:val="center"/>
        </w:trPr>
        <w:tc>
          <w:tcPr>
            <w:tcW w:w="1552" w:type="dxa"/>
            <w:tcBorders>
              <w:top w:val="single" w:sz="4" w:space="0" w:color="auto"/>
              <w:left w:val="single" w:sz="8" w:space="0" w:color="auto"/>
              <w:bottom w:val="single" w:sz="4" w:space="0" w:color="auto"/>
              <w:right w:val="single" w:sz="4" w:space="0" w:color="auto"/>
            </w:tcBorders>
            <w:vAlign w:val="center"/>
            <w:hideMark/>
          </w:tcPr>
          <w:p w14:paraId="2DDB4869"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Izdaci za financijsku imovinu i otplate zajmova</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5075AB2D"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0,00 €</w:t>
            </w:r>
          </w:p>
        </w:tc>
        <w:tc>
          <w:tcPr>
            <w:tcW w:w="2153" w:type="dxa"/>
            <w:tcBorders>
              <w:top w:val="single" w:sz="4" w:space="0" w:color="auto"/>
              <w:left w:val="single" w:sz="4" w:space="0" w:color="auto"/>
              <w:bottom w:val="single" w:sz="4" w:space="0" w:color="auto"/>
              <w:right w:val="single" w:sz="4" w:space="0" w:color="auto"/>
            </w:tcBorders>
            <w:vAlign w:val="center"/>
            <w:hideMark/>
          </w:tcPr>
          <w:p w14:paraId="4D34BEAE"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0,00 €</w:t>
            </w:r>
          </w:p>
        </w:tc>
        <w:tc>
          <w:tcPr>
            <w:tcW w:w="2212" w:type="dxa"/>
            <w:tcBorders>
              <w:top w:val="single" w:sz="4" w:space="0" w:color="auto"/>
              <w:left w:val="single" w:sz="4" w:space="0" w:color="auto"/>
              <w:bottom w:val="single" w:sz="4" w:space="0" w:color="auto"/>
              <w:right w:val="single" w:sz="4" w:space="0" w:color="auto"/>
            </w:tcBorders>
            <w:noWrap/>
            <w:vAlign w:val="center"/>
            <w:hideMark/>
          </w:tcPr>
          <w:p w14:paraId="7B83F12C"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0,00 €</w:t>
            </w:r>
          </w:p>
        </w:tc>
        <w:tc>
          <w:tcPr>
            <w:tcW w:w="1428" w:type="dxa"/>
            <w:tcBorders>
              <w:top w:val="single" w:sz="4" w:space="0" w:color="auto"/>
              <w:left w:val="single" w:sz="4" w:space="0" w:color="auto"/>
              <w:bottom w:val="single" w:sz="4" w:space="0" w:color="auto"/>
              <w:right w:val="single" w:sz="8" w:space="0" w:color="auto"/>
            </w:tcBorders>
            <w:vAlign w:val="center"/>
            <w:hideMark/>
          </w:tcPr>
          <w:p w14:paraId="0FC82EA2"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0,00%</w:t>
            </w:r>
          </w:p>
        </w:tc>
      </w:tr>
      <w:tr w:rsidR="00AD60AE" w:rsidRPr="00455541" w14:paraId="0F33A0E8" w14:textId="77777777" w:rsidTr="00AD60AE">
        <w:trPr>
          <w:trHeight w:val="632"/>
          <w:jc w:val="center"/>
        </w:trPr>
        <w:tc>
          <w:tcPr>
            <w:tcW w:w="1552" w:type="dxa"/>
            <w:tcBorders>
              <w:top w:val="single" w:sz="4" w:space="0" w:color="auto"/>
              <w:left w:val="single" w:sz="8" w:space="0" w:color="auto"/>
              <w:bottom w:val="single" w:sz="4" w:space="0" w:color="auto"/>
              <w:right w:val="single" w:sz="4" w:space="0" w:color="auto"/>
            </w:tcBorders>
            <w:shd w:val="clear" w:color="DAEEF3" w:fill="DAEEF3"/>
            <w:vAlign w:val="center"/>
            <w:hideMark/>
          </w:tcPr>
          <w:p w14:paraId="72E92DA7" w14:textId="77777777" w:rsidR="00AD60AE" w:rsidRPr="00F20306" w:rsidRDefault="00AD60AE" w:rsidP="00A873B5">
            <w:pPr>
              <w:pStyle w:val="Header"/>
              <w:jc w:val="center"/>
              <w:rPr>
                <w:rFonts w:asciiTheme="minorHAnsi" w:hAnsiTheme="minorHAnsi" w:cstheme="minorHAnsi"/>
                <w:b/>
                <w:bCs/>
                <w:sz w:val="20"/>
                <w:szCs w:val="20"/>
                <w:lang w:val="hr-HR"/>
              </w:rPr>
            </w:pPr>
            <w:r w:rsidRPr="00F20306">
              <w:rPr>
                <w:rFonts w:asciiTheme="minorHAnsi" w:hAnsiTheme="minorHAnsi" w:cstheme="minorHAnsi"/>
                <w:b/>
                <w:bCs/>
                <w:sz w:val="20"/>
                <w:szCs w:val="20"/>
                <w:lang w:val="hr-HR"/>
              </w:rPr>
              <w:t>Ukupni rashodi:</w:t>
            </w:r>
          </w:p>
        </w:tc>
        <w:tc>
          <w:tcPr>
            <w:tcW w:w="2153" w:type="dxa"/>
            <w:tcBorders>
              <w:top w:val="single" w:sz="4" w:space="0" w:color="auto"/>
              <w:left w:val="single" w:sz="4" w:space="0" w:color="auto"/>
              <w:bottom w:val="single" w:sz="4" w:space="0" w:color="auto"/>
              <w:right w:val="single" w:sz="4" w:space="0" w:color="auto"/>
            </w:tcBorders>
            <w:shd w:val="clear" w:color="DAEEF3" w:fill="DAEEF3"/>
            <w:noWrap/>
            <w:vAlign w:val="center"/>
            <w:hideMark/>
          </w:tcPr>
          <w:p w14:paraId="768958F9" w14:textId="77777777" w:rsidR="00AD60AE" w:rsidRPr="00F20306" w:rsidRDefault="00AD60AE" w:rsidP="00A873B5">
            <w:pPr>
              <w:pStyle w:val="Header"/>
              <w:jc w:val="center"/>
              <w:rPr>
                <w:rFonts w:asciiTheme="minorHAnsi" w:hAnsiTheme="minorHAnsi" w:cstheme="minorHAnsi"/>
                <w:b/>
                <w:bCs/>
                <w:sz w:val="20"/>
                <w:szCs w:val="20"/>
                <w:lang w:val="hr-HR"/>
              </w:rPr>
            </w:pPr>
            <w:r w:rsidRPr="00F20306">
              <w:rPr>
                <w:rFonts w:asciiTheme="minorHAnsi" w:hAnsiTheme="minorHAnsi" w:cstheme="minorHAnsi"/>
                <w:b/>
                <w:bCs/>
                <w:sz w:val="20"/>
                <w:szCs w:val="20"/>
                <w:lang w:val="hr-HR"/>
              </w:rPr>
              <w:t>802.185,84 €</w:t>
            </w:r>
          </w:p>
        </w:tc>
        <w:tc>
          <w:tcPr>
            <w:tcW w:w="2153" w:type="dxa"/>
            <w:tcBorders>
              <w:top w:val="single" w:sz="4" w:space="0" w:color="auto"/>
              <w:left w:val="single" w:sz="4" w:space="0" w:color="auto"/>
              <w:bottom w:val="single" w:sz="4" w:space="0" w:color="auto"/>
              <w:right w:val="single" w:sz="4" w:space="0" w:color="auto"/>
            </w:tcBorders>
            <w:shd w:val="clear" w:color="DAEEF3" w:fill="DAEEF3"/>
            <w:vAlign w:val="center"/>
            <w:hideMark/>
          </w:tcPr>
          <w:p w14:paraId="0E274BA9" w14:textId="77777777" w:rsidR="00AD60AE" w:rsidRPr="00F20306" w:rsidRDefault="00AD60AE" w:rsidP="00A873B5">
            <w:pPr>
              <w:pStyle w:val="Header"/>
              <w:jc w:val="center"/>
              <w:rPr>
                <w:rFonts w:asciiTheme="minorHAnsi" w:hAnsiTheme="minorHAnsi" w:cstheme="minorHAnsi"/>
                <w:b/>
                <w:bCs/>
                <w:sz w:val="20"/>
                <w:szCs w:val="20"/>
                <w:lang w:val="hr-HR"/>
              </w:rPr>
            </w:pPr>
            <w:r w:rsidRPr="00F20306">
              <w:rPr>
                <w:rFonts w:asciiTheme="minorHAnsi" w:hAnsiTheme="minorHAnsi" w:cstheme="minorHAnsi"/>
                <w:b/>
                <w:bCs/>
                <w:sz w:val="20"/>
                <w:szCs w:val="20"/>
                <w:lang w:val="hr-HR"/>
              </w:rPr>
              <w:t>993.195,91 €</w:t>
            </w:r>
          </w:p>
        </w:tc>
        <w:tc>
          <w:tcPr>
            <w:tcW w:w="2212" w:type="dxa"/>
            <w:tcBorders>
              <w:top w:val="single" w:sz="4" w:space="0" w:color="auto"/>
              <w:left w:val="single" w:sz="4" w:space="0" w:color="auto"/>
              <w:bottom w:val="single" w:sz="4" w:space="0" w:color="auto"/>
              <w:right w:val="single" w:sz="4" w:space="0" w:color="auto"/>
            </w:tcBorders>
            <w:shd w:val="clear" w:color="DAEEF3" w:fill="DAEEF3"/>
            <w:noWrap/>
            <w:vAlign w:val="center"/>
            <w:hideMark/>
          </w:tcPr>
          <w:p w14:paraId="148E47F9" w14:textId="77777777" w:rsidR="00AD60AE" w:rsidRPr="00F20306" w:rsidRDefault="00AD60AE" w:rsidP="00A873B5">
            <w:pPr>
              <w:pStyle w:val="Header"/>
              <w:jc w:val="center"/>
              <w:rPr>
                <w:rFonts w:asciiTheme="minorHAnsi" w:hAnsiTheme="minorHAnsi" w:cstheme="minorHAnsi"/>
                <w:b/>
                <w:bCs/>
                <w:sz w:val="20"/>
                <w:szCs w:val="20"/>
                <w:lang w:val="hr-HR"/>
              </w:rPr>
            </w:pPr>
            <w:r w:rsidRPr="00F20306">
              <w:rPr>
                <w:rFonts w:asciiTheme="minorHAnsi" w:hAnsiTheme="minorHAnsi" w:cstheme="minorHAnsi"/>
                <w:b/>
                <w:bCs/>
                <w:sz w:val="20"/>
                <w:szCs w:val="20"/>
                <w:lang w:val="hr-HR"/>
              </w:rPr>
              <w:t>920.836,71 €</w:t>
            </w:r>
          </w:p>
        </w:tc>
        <w:tc>
          <w:tcPr>
            <w:tcW w:w="1428" w:type="dxa"/>
            <w:tcBorders>
              <w:top w:val="single" w:sz="4" w:space="0" w:color="auto"/>
              <w:left w:val="single" w:sz="4" w:space="0" w:color="auto"/>
              <w:bottom w:val="single" w:sz="4" w:space="0" w:color="auto"/>
              <w:right w:val="single" w:sz="8" w:space="0" w:color="auto"/>
            </w:tcBorders>
            <w:shd w:val="clear" w:color="DAEEF3" w:fill="DAEEF3"/>
            <w:vAlign w:val="center"/>
            <w:hideMark/>
          </w:tcPr>
          <w:p w14:paraId="316BCA10" w14:textId="77777777" w:rsidR="00AD60AE" w:rsidRPr="00F20306" w:rsidRDefault="00AD60AE" w:rsidP="00A873B5">
            <w:pPr>
              <w:pStyle w:val="Header"/>
              <w:jc w:val="center"/>
              <w:rPr>
                <w:rFonts w:asciiTheme="minorHAnsi" w:hAnsiTheme="minorHAnsi" w:cstheme="minorHAnsi"/>
                <w:b/>
                <w:bCs/>
                <w:sz w:val="20"/>
                <w:szCs w:val="20"/>
                <w:lang w:val="hr-HR"/>
              </w:rPr>
            </w:pPr>
            <w:r w:rsidRPr="00F20306">
              <w:rPr>
                <w:rFonts w:asciiTheme="minorHAnsi" w:hAnsiTheme="minorHAnsi" w:cstheme="minorHAnsi"/>
                <w:b/>
                <w:bCs/>
                <w:sz w:val="20"/>
                <w:szCs w:val="20"/>
                <w:lang w:val="hr-HR"/>
              </w:rPr>
              <w:t>114,79%</w:t>
            </w:r>
          </w:p>
        </w:tc>
      </w:tr>
      <w:tr w:rsidR="00AD60AE" w:rsidRPr="00455541" w14:paraId="38B5D3CB" w14:textId="77777777" w:rsidTr="00AD60AE">
        <w:trPr>
          <w:trHeight w:val="844"/>
          <w:jc w:val="center"/>
        </w:trPr>
        <w:tc>
          <w:tcPr>
            <w:tcW w:w="1552" w:type="dxa"/>
            <w:tcBorders>
              <w:top w:val="single" w:sz="4" w:space="0" w:color="auto"/>
              <w:left w:val="single" w:sz="8" w:space="0" w:color="auto"/>
              <w:bottom w:val="single" w:sz="4" w:space="0" w:color="auto"/>
              <w:right w:val="single" w:sz="4" w:space="0" w:color="auto"/>
            </w:tcBorders>
            <w:vAlign w:val="center"/>
            <w:hideMark/>
          </w:tcPr>
          <w:p w14:paraId="4AB096A2"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Metodološki manjak tekuće godine</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738FA116"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-1.225,69 €</w:t>
            </w:r>
          </w:p>
        </w:tc>
        <w:tc>
          <w:tcPr>
            <w:tcW w:w="2153" w:type="dxa"/>
            <w:tcBorders>
              <w:top w:val="single" w:sz="4" w:space="0" w:color="auto"/>
              <w:left w:val="single" w:sz="4" w:space="0" w:color="auto"/>
              <w:bottom w:val="single" w:sz="4" w:space="0" w:color="auto"/>
              <w:right w:val="single" w:sz="4" w:space="0" w:color="auto"/>
            </w:tcBorders>
            <w:vAlign w:val="center"/>
            <w:hideMark/>
          </w:tcPr>
          <w:p w14:paraId="6823B9D5"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0,00 €</w:t>
            </w:r>
          </w:p>
        </w:tc>
        <w:tc>
          <w:tcPr>
            <w:tcW w:w="2212" w:type="dxa"/>
            <w:tcBorders>
              <w:top w:val="single" w:sz="4" w:space="0" w:color="auto"/>
              <w:left w:val="single" w:sz="4" w:space="0" w:color="auto"/>
              <w:bottom w:val="single" w:sz="4" w:space="0" w:color="auto"/>
              <w:right w:val="single" w:sz="4" w:space="0" w:color="auto"/>
            </w:tcBorders>
            <w:noWrap/>
            <w:vAlign w:val="center"/>
            <w:hideMark/>
          </w:tcPr>
          <w:p w14:paraId="3D9D0F7F"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-2.047,61 €</w:t>
            </w:r>
          </w:p>
        </w:tc>
        <w:tc>
          <w:tcPr>
            <w:tcW w:w="1428" w:type="dxa"/>
            <w:tcBorders>
              <w:top w:val="single" w:sz="4" w:space="0" w:color="auto"/>
              <w:left w:val="single" w:sz="4" w:space="0" w:color="auto"/>
              <w:bottom w:val="single" w:sz="4" w:space="0" w:color="auto"/>
              <w:right w:val="single" w:sz="8" w:space="0" w:color="auto"/>
            </w:tcBorders>
            <w:vAlign w:val="center"/>
            <w:hideMark/>
          </w:tcPr>
          <w:p w14:paraId="4D686349"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167,06%</w:t>
            </w:r>
          </w:p>
        </w:tc>
      </w:tr>
      <w:tr w:rsidR="00AD60AE" w:rsidRPr="00455541" w14:paraId="6D6A5039" w14:textId="77777777" w:rsidTr="00AD60AE">
        <w:trPr>
          <w:trHeight w:val="870"/>
          <w:jc w:val="center"/>
        </w:trPr>
        <w:tc>
          <w:tcPr>
            <w:tcW w:w="1552" w:type="dxa"/>
            <w:tcBorders>
              <w:top w:val="single" w:sz="4" w:space="0" w:color="auto"/>
              <w:left w:val="single" w:sz="8" w:space="0" w:color="auto"/>
              <w:bottom w:val="single" w:sz="4" w:space="0" w:color="auto"/>
              <w:right w:val="single" w:sz="4" w:space="0" w:color="auto"/>
            </w:tcBorders>
            <w:shd w:val="clear" w:color="DAEEF3" w:fill="DAEEF3"/>
            <w:vAlign w:val="center"/>
            <w:hideMark/>
          </w:tcPr>
          <w:p w14:paraId="328AD848"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Višak tekuće godine</w:t>
            </w:r>
          </w:p>
        </w:tc>
        <w:tc>
          <w:tcPr>
            <w:tcW w:w="2153" w:type="dxa"/>
            <w:tcBorders>
              <w:top w:val="single" w:sz="4" w:space="0" w:color="auto"/>
              <w:left w:val="single" w:sz="4" w:space="0" w:color="auto"/>
              <w:bottom w:val="single" w:sz="4" w:space="0" w:color="auto"/>
              <w:right w:val="single" w:sz="4" w:space="0" w:color="auto"/>
            </w:tcBorders>
            <w:shd w:val="clear" w:color="DAEEF3" w:fill="DAEEF3"/>
            <w:noWrap/>
            <w:vAlign w:val="center"/>
            <w:hideMark/>
          </w:tcPr>
          <w:p w14:paraId="13980B37"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3.477,07 €</w:t>
            </w:r>
          </w:p>
        </w:tc>
        <w:tc>
          <w:tcPr>
            <w:tcW w:w="2153" w:type="dxa"/>
            <w:tcBorders>
              <w:top w:val="single" w:sz="4" w:space="0" w:color="auto"/>
              <w:left w:val="single" w:sz="4" w:space="0" w:color="auto"/>
              <w:bottom w:val="single" w:sz="4" w:space="0" w:color="auto"/>
              <w:right w:val="single" w:sz="4" w:space="0" w:color="auto"/>
            </w:tcBorders>
            <w:shd w:val="clear" w:color="DAEEF3" w:fill="DAEEF3"/>
            <w:vAlign w:val="center"/>
            <w:hideMark/>
          </w:tcPr>
          <w:p w14:paraId="4AF2F447"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0,00 €</w:t>
            </w:r>
          </w:p>
        </w:tc>
        <w:tc>
          <w:tcPr>
            <w:tcW w:w="2212" w:type="dxa"/>
            <w:tcBorders>
              <w:top w:val="single" w:sz="4" w:space="0" w:color="auto"/>
              <w:left w:val="single" w:sz="4" w:space="0" w:color="auto"/>
              <w:bottom w:val="single" w:sz="4" w:space="0" w:color="auto"/>
              <w:right w:val="single" w:sz="4" w:space="0" w:color="auto"/>
            </w:tcBorders>
            <w:shd w:val="clear" w:color="DAEEF3" w:fill="DAEEF3"/>
            <w:noWrap/>
            <w:vAlign w:val="center"/>
            <w:hideMark/>
          </w:tcPr>
          <w:p w14:paraId="65922394"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0,00 €</w:t>
            </w:r>
          </w:p>
        </w:tc>
        <w:tc>
          <w:tcPr>
            <w:tcW w:w="1428" w:type="dxa"/>
            <w:tcBorders>
              <w:top w:val="single" w:sz="4" w:space="0" w:color="auto"/>
              <w:left w:val="single" w:sz="4" w:space="0" w:color="auto"/>
              <w:bottom w:val="single" w:sz="4" w:space="0" w:color="auto"/>
              <w:right w:val="single" w:sz="8" w:space="0" w:color="auto"/>
            </w:tcBorders>
            <w:shd w:val="clear" w:color="DAEEF3" w:fill="DAEEF3"/>
            <w:vAlign w:val="center"/>
            <w:hideMark/>
          </w:tcPr>
          <w:p w14:paraId="326BD229"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0,00%</w:t>
            </w:r>
          </w:p>
        </w:tc>
      </w:tr>
      <w:tr w:rsidR="00AD60AE" w:rsidRPr="00455541" w14:paraId="7155A0C9" w14:textId="77777777" w:rsidTr="00AD60AE">
        <w:trPr>
          <w:trHeight w:val="870"/>
          <w:jc w:val="center"/>
        </w:trPr>
        <w:tc>
          <w:tcPr>
            <w:tcW w:w="1552" w:type="dxa"/>
            <w:tcBorders>
              <w:top w:val="single" w:sz="4" w:space="0" w:color="auto"/>
              <w:left w:val="single" w:sz="8" w:space="0" w:color="auto"/>
              <w:bottom w:val="single" w:sz="4" w:space="0" w:color="auto"/>
              <w:right w:val="single" w:sz="4" w:space="0" w:color="auto"/>
            </w:tcBorders>
            <w:vAlign w:val="center"/>
            <w:hideMark/>
          </w:tcPr>
          <w:p w14:paraId="2294990A"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Manjak tekuće godine</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39BFD1B3"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0,00 €</w:t>
            </w:r>
          </w:p>
        </w:tc>
        <w:tc>
          <w:tcPr>
            <w:tcW w:w="2153" w:type="dxa"/>
            <w:tcBorders>
              <w:top w:val="single" w:sz="4" w:space="0" w:color="auto"/>
              <w:left w:val="single" w:sz="4" w:space="0" w:color="auto"/>
              <w:bottom w:val="single" w:sz="4" w:space="0" w:color="auto"/>
              <w:right w:val="single" w:sz="4" w:space="0" w:color="auto"/>
            </w:tcBorders>
            <w:vAlign w:val="center"/>
            <w:hideMark/>
          </w:tcPr>
          <w:p w14:paraId="0EDC9B4B"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0,00 €</w:t>
            </w:r>
          </w:p>
        </w:tc>
        <w:tc>
          <w:tcPr>
            <w:tcW w:w="2212" w:type="dxa"/>
            <w:tcBorders>
              <w:top w:val="single" w:sz="4" w:space="0" w:color="auto"/>
              <w:left w:val="single" w:sz="4" w:space="0" w:color="auto"/>
              <w:bottom w:val="single" w:sz="4" w:space="0" w:color="auto"/>
              <w:right w:val="single" w:sz="4" w:space="0" w:color="auto"/>
            </w:tcBorders>
            <w:noWrap/>
            <w:vAlign w:val="center"/>
            <w:hideMark/>
          </w:tcPr>
          <w:p w14:paraId="403E48DD"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-5.004,41 €</w:t>
            </w:r>
          </w:p>
        </w:tc>
        <w:tc>
          <w:tcPr>
            <w:tcW w:w="1428" w:type="dxa"/>
            <w:tcBorders>
              <w:top w:val="single" w:sz="4" w:space="0" w:color="auto"/>
              <w:left w:val="single" w:sz="4" w:space="0" w:color="auto"/>
              <w:bottom w:val="single" w:sz="4" w:space="0" w:color="auto"/>
              <w:right w:val="single" w:sz="8" w:space="0" w:color="auto"/>
            </w:tcBorders>
            <w:vAlign w:val="center"/>
            <w:hideMark/>
          </w:tcPr>
          <w:p w14:paraId="307E1E1A"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0,00%</w:t>
            </w:r>
          </w:p>
        </w:tc>
      </w:tr>
      <w:tr w:rsidR="00AD60AE" w:rsidRPr="00455541" w14:paraId="045FDBF1" w14:textId="77777777" w:rsidTr="00AD60AE">
        <w:trPr>
          <w:trHeight w:val="844"/>
          <w:jc w:val="center"/>
        </w:trPr>
        <w:tc>
          <w:tcPr>
            <w:tcW w:w="1552" w:type="dxa"/>
            <w:tcBorders>
              <w:top w:val="single" w:sz="4" w:space="0" w:color="auto"/>
              <w:left w:val="single" w:sz="8" w:space="0" w:color="auto"/>
              <w:bottom w:val="single" w:sz="4" w:space="0" w:color="auto"/>
              <w:right w:val="single" w:sz="4" w:space="0" w:color="auto"/>
            </w:tcBorders>
            <w:shd w:val="clear" w:color="DAEEF3" w:fill="DAEEF3"/>
            <w:vAlign w:val="center"/>
            <w:hideMark/>
          </w:tcPr>
          <w:p w14:paraId="7D063AF3"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Preneseni višak iz prethodnih godina</w:t>
            </w:r>
          </w:p>
        </w:tc>
        <w:tc>
          <w:tcPr>
            <w:tcW w:w="2153" w:type="dxa"/>
            <w:tcBorders>
              <w:top w:val="single" w:sz="4" w:space="0" w:color="auto"/>
              <w:left w:val="single" w:sz="4" w:space="0" w:color="auto"/>
              <w:bottom w:val="single" w:sz="4" w:space="0" w:color="auto"/>
              <w:right w:val="single" w:sz="4" w:space="0" w:color="auto"/>
            </w:tcBorders>
            <w:shd w:val="clear" w:color="DAEEF3" w:fill="DAEEF3"/>
            <w:noWrap/>
            <w:vAlign w:val="center"/>
            <w:hideMark/>
          </w:tcPr>
          <w:p w14:paraId="731066E6"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25.836,23 €</w:t>
            </w:r>
          </w:p>
        </w:tc>
        <w:tc>
          <w:tcPr>
            <w:tcW w:w="2153" w:type="dxa"/>
            <w:tcBorders>
              <w:top w:val="single" w:sz="4" w:space="0" w:color="auto"/>
              <w:left w:val="single" w:sz="4" w:space="0" w:color="auto"/>
              <w:bottom w:val="single" w:sz="4" w:space="0" w:color="auto"/>
              <w:right w:val="single" w:sz="4" w:space="0" w:color="auto"/>
            </w:tcBorders>
            <w:shd w:val="clear" w:color="DAEEF3" w:fill="DAEEF3"/>
            <w:vAlign w:val="center"/>
            <w:hideMark/>
          </w:tcPr>
          <w:p w14:paraId="574871AD"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25.829,54 €</w:t>
            </w:r>
          </w:p>
        </w:tc>
        <w:tc>
          <w:tcPr>
            <w:tcW w:w="2212" w:type="dxa"/>
            <w:tcBorders>
              <w:top w:val="single" w:sz="4" w:space="0" w:color="auto"/>
              <w:left w:val="single" w:sz="4" w:space="0" w:color="auto"/>
              <w:bottom w:val="single" w:sz="4" w:space="0" w:color="auto"/>
              <w:right w:val="single" w:sz="4" w:space="0" w:color="auto"/>
            </w:tcBorders>
            <w:shd w:val="clear" w:color="DAEEF3" w:fill="DAEEF3"/>
            <w:noWrap/>
            <w:vAlign w:val="center"/>
            <w:hideMark/>
          </w:tcPr>
          <w:p w14:paraId="113DD7E3"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29.313,28 €</w:t>
            </w:r>
          </w:p>
        </w:tc>
        <w:tc>
          <w:tcPr>
            <w:tcW w:w="1428" w:type="dxa"/>
            <w:tcBorders>
              <w:top w:val="single" w:sz="4" w:space="0" w:color="auto"/>
              <w:left w:val="single" w:sz="4" w:space="0" w:color="auto"/>
              <w:bottom w:val="single" w:sz="4" w:space="0" w:color="auto"/>
              <w:right w:val="single" w:sz="8" w:space="0" w:color="auto"/>
            </w:tcBorders>
            <w:shd w:val="clear" w:color="DAEEF3" w:fill="DAEEF3"/>
            <w:vAlign w:val="center"/>
            <w:hideMark/>
          </w:tcPr>
          <w:p w14:paraId="0C8FD15F"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113,46%</w:t>
            </w:r>
          </w:p>
        </w:tc>
      </w:tr>
      <w:tr w:rsidR="00AD60AE" w:rsidRPr="00455541" w14:paraId="3057FAFF" w14:textId="77777777" w:rsidTr="00AD60AE">
        <w:trPr>
          <w:trHeight w:val="771"/>
          <w:jc w:val="center"/>
        </w:trPr>
        <w:tc>
          <w:tcPr>
            <w:tcW w:w="1552" w:type="dxa"/>
            <w:tcBorders>
              <w:top w:val="single" w:sz="4" w:space="0" w:color="auto"/>
              <w:left w:val="single" w:sz="8" w:space="0" w:color="auto"/>
              <w:bottom w:val="single" w:sz="8" w:space="0" w:color="auto"/>
              <w:right w:val="single" w:sz="4" w:space="0" w:color="auto"/>
            </w:tcBorders>
            <w:vAlign w:val="center"/>
            <w:hideMark/>
          </w:tcPr>
          <w:p w14:paraId="6C856964"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Ukupni višak koji se prenosi u narednu godinu</w:t>
            </w:r>
          </w:p>
        </w:tc>
        <w:tc>
          <w:tcPr>
            <w:tcW w:w="2153" w:type="dxa"/>
            <w:tcBorders>
              <w:top w:val="single" w:sz="4" w:space="0" w:color="auto"/>
              <w:left w:val="single" w:sz="4" w:space="0" w:color="auto"/>
              <w:bottom w:val="single" w:sz="8" w:space="0" w:color="auto"/>
              <w:right w:val="single" w:sz="4" w:space="0" w:color="auto"/>
            </w:tcBorders>
            <w:noWrap/>
            <w:vAlign w:val="center"/>
            <w:hideMark/>
          </w:tcPr>
          <w:p w14:paraId="55290E0C"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29.313,30 €</w:t>
            </w:r>
          </w:p>
        </w:tc>
        <w:tc>
          <w:tcPr>
            <w:tcW w:w="2153" w:type="dxa"/>
            <w:tcBorders>
              <w:top w:val="single" w:sz="4" w:space="0" w:color="auto"/>
              <w:left w:val="single" w:sz="4" w:space="0" w:color="auto"/>
              <w:bottom w:val="single" w:sz="8" w:space="0" w:color="auto"/>
              <w:right w:val="single" w:sz="4" w:space="0" w:color="auto"/>
            </w:tcBorders>
            <w:vAlign w:val="center"/>
            <w:hideMark/>
          </w:tcPr>
          <w:p w14:paraId="230CD1C8"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25.829,54 €</w:t>
            </w:r>
          </w:p>
        </w:tc>
        <w:tc>
          <w:tcPr>
            <w:tcW w:w="2212" w:type="dxa"/>
            <w:tcBorders>
              <w:top w:val="single" w:sz="4" w:space="0" w:color="auto"/>
              <w:left w:val="single" w:sz="4" w:space="0" w:color="auto"/>
              <w:bottom w:val="single" w:sz="8" w:space="0" w:color="auto"/>
              <w:right w:val="single" w:sz="4" w:space="0" w:color="auto"/>
            </w:tcBorders>
            <w:noWrap/>
            <w:vAlign w:val="center"/>
            <w:hideMark/>
          </w:tcPr>
          <w:p w14:paraId="3DD89CF4"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24.308,87 €</w:t>
            </w:r>
          </w:p>
        </w:tc>
        <w:tc>
          <w:tcPr>
            <w:tcW w:w="1428" w:type="dxa"/>
            <w:tcBorders>
              <w:top w:val="single" w:sz="4" w:space="0" w:color="auto"/>
              <w:left w:val="single" w:sz="4" w:space="0" w:color="auto"/>
              <w:bottom w:val="single" w:sz="8" w:space="0" w:color="auto"/>
              <w:right w:val="single" w:sz="8" w:space="0" w:color="auto"/>
            </w:tcBorders>
            <w:vAlign w:val="center"/>
            <w:hideMark/>
          </w:tcPr>
          <w:p w14:paraId="3A0A186E" w14:textId="77777777" w:rsidR="00AD60AE" w:rsidRPr="00F20306" w:rsidRDefault="00AD60AE" w:rsidP="00A873B5">
            <w:pPr>
              <w:pStyle w:val="Header"/>
              <w:jc w:val="center"/>
              <w:rPr>
                <w:rFonts w:asciiTheme="minorHAnsi" w:hAnsiTheme="minorHAnsi" w:cstheme="minorHAnsi"/>
                <w:bCs/>
                <w:sz w:val="20"/>
                <w:szCs w:val="20"/>
                <w:lang w:val="hr-HR"/>
              </w:rPr>
            </w:pPr>
            <w:r w:rsidRPr="00F20306">
              <w:rPr>
                <w:rFonts w:asciiTheme="minorHAnsi" w:hAnsiTheme="minorHAnsi" w:cstheme="minorHAnsi"/>
                <w:bCs/>
                <w:sz w:val="20"/>
                <w:szCs w:val="20"/>
                <w:lang w:val="hr-HR"/>
              </w:rPr>
              <w:t>82,93%</w:t>
            </w:r>
          </w:p>
        </w:tc>
      </w:tr>
    </w:tbl>
    <w:p w14:paraId="4DDF9AF9" w14:textId="5772E114" w:rsidR="00792472" w:rsidRDefault="00792472" w:rsidP="00792472"/>
    <w:p w14:paraId="0DD52107" w14:textId="6D319966" w:rsidR="00792472" w:rsidRDefault="00792472" w:rsidP="00AD60AE">
      <w:pPr>
        <w:jc w:val="both"/>
      </w:pPr>
      <w:r>
        <w:t>U 2023. godini JVP Grada Krka ostvarila je ukupne prihode i primitke u iznosu od 915.832,30 €, ukupne rashode i izdatke u iznosu od 920.836,71 € iz čega je vidljivo da je ostvaren manjak tekuće godine u iznosu od 5.004, 41 €.</w:t>
      </w:r>
    </w:p>
    <w:p w14:paraId="4460B454" w14:textId="77777777" w:rsidR="00792472" w:rsidRDefault="00792472" w:rsidP="00AD60AE">
      <w:pPr>
        <w:spacing w:after="0"/>
      </w:pPr>
      <w:r>
        <w:t>UKUPNI PRIHODI I PRIMICI:  915.832,30 €</w:t>
      </w:r>
    </w:p>
    <w:p w14:paraId="1928AB7C" w14:textId="22D6D5CB" w:rsidR="00792472" w:rsidRPr="00AD60AE" w:rsidRDefault="00792472" w:rsidP="00792472">
      <w:pPr>
        <w:rPr>
          <w:u w:val="single"/>
        </w:rPr>
      </w:pPr>
      <w:r w:rsidRPr="00AD60AE">
        <w:rPr>
          <w:u w:val="single"/>
        </w:rPr>
        <w:t>UKUPNI RASHODI I IZDACI:   920.836,71 €</w:t>
      </w:r>
    </w:p>
    <w:p w14:paraId="799A0BF9" w14:textId="26D48A6A" w:rsidR="00792472" w:rsidRPr="00AD60AE" w:rsidRDefault="00792472" w:rsidP="00792472">
      <w:pPr>
        <w:rPr>
          <w:b/>
          <w:bCs/>
        </w:rPr>
      </w:pPr>
      <w:r w:rsidRPr="00AD60AE">
        <w:rPr>
          <w:b/>
          <w:bCs/>
        </w:rPr>
        <w:t>MANJAK TEKUĆE GODINE:       5.004,41 €</w:t>
      </w:r>
    </w:p>
    <w:p w14:paraId="25CA4D7D" w14:textId="77777777" w:rsidR="00792472" w:rsidRDefault="00792472" w:rsidP="00AD60AE">
      <w:pPr>
        <w:jc w:val="both"/>
      </w:pPr>
      <w:r>
        <w:t xml:space="preserve">Akumulirani preneseni višak prihoda iz 2022. godine nakon knjiženja Odluke Vatrogasnog vijeća od 14.03.2023. godine o raspodjeli rezultata poslovanja iznosio je 29.313,28 €. Zbog konverzije početnog </w:t>
      </w:r>
      <w:r>
        <w:lastRenderedPageBreak/>
        <w:t>stanja iz kuna u euro u bilanci početnog stanja utvrđen je manjak u iznosu od 0,02 € koji je namiren iz prenesenog viška prihoda (29.313,30 -0,02 = 29.313,28 €).</w:t>
      </w:r>
    </w:p>
    <w:p w14:paraId="5D0B7BF7" w14:textId="77777777" w:rsidR="00792472" w:rsidRDefault="00792472" w:rsidP="00AD60AE">
      <w:pPr>
        <w:jc w:val="both"/>
      </w:pPr>
      <w:r>
        <w:t>U 2023. godini višak prihoda poslovanja sastoji se od prenesenog viška prihoda u iznosu od 29.313,28 €, te viška prihoda poslovanja  u iznosu od 30.237,35 € što ukupno iznosi kn 59.550,63 €. Manjak prihoda od nefinancijske imovine ukupno iznosi  35.241,76 €. Nakon izvršene korekcije financijskog rezultata višak prihoda poslovanja iznosi 37.983,39 €, dok manjak prihoda iznosi 13.629,82 .</w:t>
      </w:r>
    </w:p>
    <w:p w14:paraId="328F8FCE" w14:textId="0C9DD21F" w:rsidR="00792472" w:rsidRDefault="00792472" w:rsidP="00AD60AE">
      <w:pPr>
        <w:jc w:val="both"/>
      </w:pPr>
      <w:r>
        <w:t xml:space="preserve">Nakon predaje završnog računa na prvoj sjednici Vatrogasnog vijeća JVP Grada Krka koja  se održala 06.02.2023.g., donesena je odluka o raspodjeli rezultata poslovanja, na način da će se manjak prihoda pokriti prenesenim viškom, pa će u 2024. godini stvarni raspoloživi višak prihoda iznosi 24.308,87 €. </w:t>
      </w:r>
    </w:p>
    <w:p w14:paraId="488C9160" w14:textId="71683E30" w:rsidR="00792472" w:rsidRDefault="00792472" w:rsidP="00AD60AE">
      <w:pPr>
        <w:spacing w:after="0"/>
      </w:pPr>
      <w:r>
        <w:t>PRENESENI VIŠAK PRIHODA:</w:t>
      </w:r>
      <w:r w:rsidR="00AD60AE">
        <w:t xml:space="preserve"> </w:t>
      </w:r>
      <w:r w:rsidR="00AD60AE">
        <w:tab/>
      </w:r>
      <w:r w:rsidR="00AD60AE">
        <w:tab/>
      </w:r>
      <w:r w:rsidR="00AD60AE">
        <w:tab/>
      </w:r>
      <w:r w:rsidR="00AD60AE">
        <w:tab/>
      </w:r>
      <w:r w:rsidR="00AD60AE">
        <w:tab/>
      </w:r>
      <w:r w:rsidR="00AD60AE">
        <w:tab/>
      </w:r>
      <w:r w:rsidR="00AD60AE">
        <w:tab/>
      </w:r>
      <w:r w:rsidR="00AD60AE">
        <w:tab/>
      </w:r>
      <w:r>
        <w:t>29.313,28 €</w:t>
      </w:r>
    </w:p>
    <w:p w14:paraId="53B1EAE9" w14:textId="0D0705DC" w:rsidR="00792472" w:rsidRPr="00AD60AE" w:rsidRDefault="00792472" w:rsidP="00AD60AE">
      <w:pPr>
        <w:spacing w:after="0"/>
        <w:rPr>
          <w:u w:val="single"/>
        </w:rPr>
      </w:pPr>
      <w:r w:rsidRPr="00AD60AE">
        <w:rPr>
          <w:u w:val="single"/>
        </w:rPr>
        <w:t>VIŠAK PRIHODA POSLOVANJA:</w:t>
      </w:r>
      <w:r w:rsidR="00AD60AE" w:rsidRPr="00AD60AE">
        <w:rPr>
          <w:u w:val="single"/>
        </w:rPr>
        <w:t xml:space="preserve"> </w:t>
      </w:r>
      <w:r w:rsidR="00AD60AE" w:rsidRPr="00AD60AE">
        <w:rPr>
          <w:u w:val="single"/>
        </w:rPr>
        <w:tab/>
      </w:r>
      <w:r w:rsidR="00AD60AE" w:rsidRPr="00AD60AE">
        <w:rPr>
          <w:u w:val="single"/>
        </w:rPr>
        <w:tab/>
      </w:r>
      <w:r w:rsidR="00AD60AE" w:rsidRPr="00AD60AE">
        <w:rPr>
          <w:u w:val="single"/>
        </w:rPr>
        <w:tab/>
      </w:r>
      <w:r w:rsidR="00AD60AE" w:rsidRPr="00AD60AE">
        <w:rPr>
          <w:u w:val="single"/>
        </w:rPr>
        <w:tab/>
      </w:r>
      <w:r w:rsidR="00AD60AE" w:rsidRPr="00AD60AE">
        <w:rPr>
          <w:u w:val="single"/>
        </w:rPr>
        <w:tab/>
      </w:r>
      <w:r w:rsidR="00AD60AE" w:rsidRPr="00AD60AE">
        <w:rPr>
          <w:u w:val="single"/>
        </w:rPr>
        <w:tab/>
      </w:r>
      <w:r w:rsidR="00AD60AE" w:rsidRPr="00AD60AE">
        <w:rPr>
          <w:u w:val="single"/>
        </w:rPr>
        <w:tab/>
      </w:r>
      <w:r w:rsidR="00AD60AE" w:rsidRPr="00AD60AE">
        <w:rPr>
          <w:u w:val="single"/>
        </w:rPr>
        <w:tab/>
      </w:r>
      <w:r w:rsidRPr="00AD60AE">
        <w:rPr>
          <w:u w:val="single"/>
        </w:rPr>
        <w:t>30.237,35 €</w:t>
      </w:r>
    </w:p>
    <w:p w14:paraId="6B8DE115" w14:textId="66E30915" w:rsidR="00792472" w:rsidRDefault="00792472" w:rsidP="00AD60AE">
      <w:pPr>
        <w:spacing w:after="0"/>
      </w:pPr>
      <w:r>
        <w:t>UKUPAN VIŠAK:</w:t>
      </w:r>
      <w:r w:rsidR="00AD60AE">
        <w:t xml:space="preserve"> </w:t>
      </w:r>
      <w:r w:rsidR="00AD60AE">
        <w:tab/>
      </w:r>
      <w:r w:rsidR="00AD60AE">
        <w:tab/>
      </w:r>
      <w:r w:rsidR="00AD60AE">
        <w:tab/>
      </w:r>
      <w:r w:rsidR="00AD60AE">
        <w:tab/>
      </w:r>
      <w:r w:rsidR="00AD60AE">
        <w:tab/>
      </w:r>
      <w:r w:rsidR="00AD60AE">
        <w:tab/>
      </w:r>
      <w:r w:rsidR="00AD60AE">
        <w:tab/>
      </w:r>
      <w:r w:rsidR="00AD60AE">
        <w:tab/>
      </w:r>
      <w:r w:rsidR="00AD60AE">
        <w:tab/>
      </w:r>
      <w:r>
        <w:t>59.550,63 €</w:t>
      </w:r>
    </w:p>
    <w:p w14:paraId="61D7C77E" w14:textId="0F401FB5" w:rsidR="00792472" w:rsidRPr="00AD60AE" w:rsidRDefault="00792472" w:rsidP="00792472">
      <w:pPr>
        <w:rPr>
          <w:u w:val="single"/>
        </w:rPr>
      </w:pPr>
      <w:r w:rsidRPr="00AD60AE">
        <w:rPr>
          <w:u w:val="single"/>
        </w:rPr>
        <w:t>MANJAK PRIHODA</w:t>
      </w:r>
      <w:r w:rsidR="00AD60AE" w:rsidRPr="00AD60AE">
        <w:rPr>
          <w:u w:val="single"/>
        </w:rPr>
        <w:t xml:space="preserve">: </w:t>
      </w:r>
      <w:r w:rsidR="00AD60AE" w:rsidRPr="00AD60AE">
        <w:rPr>
          <w:u w:val="single"/>
        </w:rPr>
        <w:tab/>
      </w:r>
      <w:r w:rsidR="00AD60AE" w:rsidRPr="00AD60AE">
        <w:rPr>
          <w:u w:val="single"/>
        </w:rPr>
        <w:tab/>
      </w:r>
      <w:r w:rsidR="00AD60AE" w:rsidRPr="00AD60AE">
        <w:rPr>
          <w:u w:val="single"/>
        </w:rPr>
        <w:tab/>
      </w:r>
      <w:r w:rsidR="00AD60AE" w:rsidRPr="00AD60AE">
        <w:rPr>
          <w:u w:val="single"/>
        </w:rPr>
        <w:tab/>
      </w:r>
      <w:r w:rsidR="00AD60AE" w:rsidRPr="00AD60AE">
        <w:rPr>
          <w:u w:val="single"/>
        </w:rPr>
        <w:tab/>
      </w:r>
      <w:r w:rsidR="00AD60AE" w:rsidRPr="00AD60AE">
        <w:rPr>
          <w:u w:val="single"/>
        </w:rPr>
        <w:tab/>
      </w:r>
      <w:r w:rsidR="00AD60AE" w:rsidRPr="00AD60AE">
        <w:rPr>
          <w:u w:val="single"/>
        </w:rPr>
        <w:tab/>
      </w:r>
      <w:r w:rsidR="00AD60AE" w:rsidRPr="00AD60AE">
        <w:rPr>
          <w:u w:val="single"/>
        </w:rPr>
        <w:tab/>
        <w:t xml:space="preserve">            </w:t>
      </w:r>
      <w:r w:rsidRPr="00AD60AE">
        <w:rPr>
          <w:u w:val="single"/>
        </w:rPr>
        <w:t>-</w:t>
      </w:r>
      <w:r w:rsidR="00AD60AE" w:rsidRPr="00AD60AE">
        <w:rPr>
          <w:u w:val="single"/>
        </w:rPr>
        <w:tab/>
      </w:r>
      <w:r w:rsidRPr="00AD60AE">
        <w:rPr>
          <w:u w:val="single"/>
        </w:rPr>
        <w:t>35.241,76 €</w:t>
      </w:r>
    </w:p>
    <w:p w14:paraId="46C04FD1" w14:textId="02B6064A" w:rsidR="00792472" w:rsidRDefault="00792472" w:rsidP="00792472">
      <w:pPr>
        <w:rPr>
          <w:b/>
          <w:bCs/>
        </w:rPr>
      </w:pPr>
      <w:r w:rsidRPr="00AD60AE">
        <w:rPr>
          <w:b/>
          <w:bCs/>
        </w:rPr>
        <w:t>VIŠAK PRIHODA RASPOLOŽIV U SLIJEDEĆEM RAZDOBLJU</w:t>
      </w:r>
      <w:r w:rsidR="00AD60AE" w:rsidRPr="00AD60AE">
        <w:rPr>
          <w:b/>
          <w:bCs/>
        </w:rPr>
        <w:t xml:space="preserve">: </w:t>
      </w:r>
      <w:r w:rsidR="00AD60AE" w:rsidRPr="00AD60AE">
        <w:rPr>
          <w:b/>
          <w:bCs/>
        </w:rPr>
        <w:tab/>
      </w:r>
      <w:r w:rsidR="00AD60AE" w:rsidRPr="00AD60AE">
        <w:rPr>
          <w:b/>
          <w:bCs/>
        </w:rPr>
        <w:tab/>
      </w:r>
      <w:r w:rsidR="00AD60AE" w:rsidRPr="00AD60AE">
        <w:rPr>
          <w:b/>
          <w:bCs/>
        </w:rPr>
        <w:tab/>
      </w:r>
      <w:r w:rsidR="00AD60AE" w:rsidRPr="00AD60AE">
        <w:rPr>
          <w:b/>
          <w:bCs/>
        </w:rPr>
        <w:tab/>
      </w:r>
      <w:r w:rsidRPr="00AD60AE">
        <w:rPr>
          <w:b/>
          <w:bCs/>
        </w:rPr>
        <w:t>24.308,87 €</w:t>
      </w:r>
    </w:p>
    <w:p w14:paraId="1E2BCEFF" w14:textId="77777777" w:rsidR="00B22447" w:rsidRDefault="00B22447" w:rsidP="00792472">
      <w:pPr>
        <w:rPr>
          <w:b/>
          <w:bCs/>
        </w:rPr>
      </w:pPr>
    </w:p>
    <w:p w14:paraId="47564CB8" w14:textId="0F2D5ED5" w:rsidR="00B22447" w:rsidRDefault="00B22447" w:rsidP="00B22447">
      <w:pPr>
        <w:pStyle w:val="ListParagraph"/>
        <w:numPr>
          <w:ilvl w:val="0"/>
          <w:numId w:val="2"/>
        </w:numPr>
        <w:rPr>
          <w:b/>
          <w:bCs/>
        </w:rPr>
      </w:pPr>
      <w:r>
        <w:rPr>
          <w:b/>
          <w:bCs/>
        </w:rPr>
        <w:t>FINANCIJSKA IMOVINA, OBVEZE I IZVANBILANČNA EVIDENCIJA</w:t>
      </w:r>
    </w:p>
    <w:p w14:paraId="090B0D08" w14:textId="55515A68" w:rsidR="00B22447" w:rsidRPr="00B22447" w:rsidRDefault="00B22447" w:rsidP="00B22447">
      <w:pPr>
        <w:spacing w:after="0" w:line="240" w:lineRule="auto"/>
        <w:jc w:val="both"/>
        <w:rPr>
          <w:rFonts w:eastAsia="Times New Roman" w:cs="Calibri"/>
          <w:b/>
          <w:kern w:val="0"/>
          <w:lang w:eastAsia="hr-HR"/>
          <w14:ligatures w14:val="none"/>
        </w:rPr>
      </w:pPr>
      <w:r>
        <w:rPr>
          <w:rFonts w:eastAsia="Times New Roman" w:cs="Calibri"/>
          <w:kern w:val="0"/>
          <w:lang w:eastAsia="hr-HR"/>
          <w14:ligatures w14:val="none"/>
        </w:rPr>
        <w:t xml:space="preserve">     </w:t>
      </w:r>
      <w:r w:rsidRPr="00B22447">
        <w:rPr>
          <w:rFonts w:eastAsia="Times New Roman" w:cs="Calibri"/>
          <w:b/>
          <w:bCs/>
          <w:kern w:val="0"/>
          <w:lang w:eastAsia="hr-HR"/>
          <w14:ligatures w14:val="none"/>
        </w:rPr>
        <w:t>Saldo na žiru računu i blagajni</w:t>
      </w:r>
      <w:r w:rsidRPr="00B22447">
        <w:rPr>
          <w:rFonts w:eastAsia="Times New Roman" w:cs="Calibri"/>
          <w:kern w:val="0"/>
          <w:lang w:eastAsia="hr-HR"/>
          <w14:ligatures w14:val="none"/>
        </w:rPr>
        <w:t xml:space="preserve"> dana 31.12.2023. godine iznosi 113.756,42 €, a  sastoji se od obveza za isplatu plaće za 12 mjesec, kao i od obveze plaćanja tekućih rashoda čija naplata dospijeva početkom 2024. godine, te od obveze povrata u nadležni proračun u iznosu od 2.047,61 €. </w:t>
      </w:r>
    </w:p>
    <w:p w14:paraId="07FFA9BA" w14:textId="77777777" w:rsidR="00B22447" w:rsidRDefault="00B22447" w:rsidP="00B22447">
      <w:pPr>
        <w:tabs>
          <w:tab w:val="center" w:pos="4536"/>
          <w:tab w:val="right" w:pos="9072"/>
        </w:tabs>
        <w:spacing w:after="0" w:line="240" w:lineRule="auto"/>
        <w:jc w:val="both"/>
        <w:rPr>
          <w:rFonts w:eastAsia="Times New Roman" w:cs="Calibri"/>
          <w:b/>
          <w:kern w:val="0"/>
          <w14:ligatures w14:val="none"/>
        </w:rPr>
      </w:pPr>
    </w:p>
    <w:p w14:paraId="57DEA8CF" w14:textId="23981856" w:rsidR="00B22447" w:rsidRPr="00B22447" w:rsidRDefault="00B22447" w:rsidP="00B22447">
      <w:pPr>
        <w:rPr>
          <w:rFonts w:ascii="Calibri" w:eastAsia="Times New Roman" w:hAnsi="Calibri" w:cs="Calibri"/>
          <w:bCs/>
          <w:kern w:val="0"/>
          <w:lang w:eastAsia="hr-HR"/>
          <w14:ligatures w14:val="none"/>
        </w:rPr>
      </w:pPr>
      <w:r>
        <w:rPr>
          <w:rFonts w:eastAsia="Times New Roman" w:cs="Calibri"/>
          <w:b/>
          <w:kern w:val="0"/>
          <w14:ligatures w14:val="none"/>
        </w:rPr>
        <w:t xml:space="preserve">     Ukupna potraživanja  </w:t>
      </w:r>
      <w:r w:rsidRPr="00B22447">
        <w:rPr>
          <w:rFonts w:eastAsia="Times New Roman" w:cs="Calibri"/>
          <w:bCs/>
          <w:kern w:val="0"/>
          <w14:ligatures w14:val="none"/>
        </w:rPr>
        <w:t xml:space="preserve">na dan 31.12.2023.g. </w:t>
      </w:r>
      <w:r w:rsidRPr="00B22447">
        <w:rPr>
          <w:rFonts w:ascii="Calibri" w:eastAsia="Times New Roman" w:hAnsi="Calibri" w:cs="Calibri"/>
          <w:bCs/>
          <w:kern w:val="0"/>
          <w:lang w:eastAsia="hr-HR"/>
          <w14:ligatures w14:val="none"/>
        </w:rPr>
        <w:t>:</w:t>
      </w:r>
      <w:r w:rsidRPr="00B22447">
        <w:rPr>
          <w:rFonts w:ascii="Calibri" w:eastAsia="Times New Roman" w:hAnsi="Calibri" w:cs="Calibri"/>
          <w:b/>
          <w:kern w:val="0"/>
          <w:lang w:eastAsia="hr-HR"/>
          <w14:ligatures w14:val="none"/>
        </w:rPr>
        <w:t xml:space="preserve"> </w:t>
      </w:r>
      <w:r w:rsidRPr="00B22447">
        <w:rPr>
          <w:rFonts w:ascii="Calibri" w:eastAsia="Times New Roman" w:hAnsi="Calibri" w:cs="Calibri"/>
          <w:b/>
          <w:kern w:val="0"/>
          <w:u w:val="single"/>
          <w:lang w:eastAsia="hr-HR"/>
          <w14:ligatures w14:val="none"/>
        </w:rPr>
        <w:t>643,71 €,</w:t>
      </w:r>
      <w:r w:rsidRPr="00B22447">
        <w:rPr>
          <w:rFonts w:ascii="Calibri" w:eastAsia="Times New Roman" w:hAnsi="Calibri" w:cs="Calibri"/>
          <w:b/>
          <w:kern w:val="0"/>
          <w:lang w:eastAsia="hr-HR"/>
          <w14:ligatures w14:val="none"/>
        </w:rPr>
        <w:t xml:space="preserve"> </w:t>
      </w:r>
      <w:r w:rsidRPr="00B22447">
        <w:rPr>
          <w:rFonts w:ascii="Calibri" w:eastAsia="Times New Roman" w:hAnsi="Calibri" w:cs="Calibri"/>
          <w:bCs/>
          <w:kern w:val="0"/>
          <w:lang w:eastAsia="hr-HR"/>
          <w14:ligatures w14:val="none"/>
        </w:rPr>
        <w:t>a sastoje se od 7 nenaplaćenih faktura.</w:t>
      </w:r>
    </w:p>
    <w:p w14:paraId="13FEF9EC" w14:textId="77777777" w:rsidR="00B22447" w:rsidRPr="00B22447" w:rsidRDefault="00B22447" w:rsidP="00B22447">
      <w:pPr>
        <w:tabs>
          <w:tab w:val="center" w:pos="4536"/>
          <w:tab w:val="right" w:pos="9072"/>
        </w:tabs>
        <w:spacing w:after="0" w:line="240" w:lineRule="auto"/>
        <w:rPr>
          <w:rFonts w:ascii="Calibri" w:eastAsia="Times New Roman" w:hAnsi="Calibri" w:cs="Calibri"/>
          <w:bCs/>
          <w:kern w:val="0"/>
          <w14:ligatures w14:val="none"/>
        </w:rPr>
      </w:pPr>
    </w:p>
    <w:tbl>
      <w:tblPr>
        <w:tblStyle w:val="TableGrid1"/>
        <w:tblpPr w:leftFromText="180" w:rightFromText="180" w:vertAnchor="text" w:tblpY="101"/>
        <w:tblW w:w="9464" w:type="dxa"/>
        <w:tblLook w:val="04A0" w:firstRow="1" w:lastRow="0" w:firstColumn="1" w:lastColumn="0" w:noHBand="0" w:noVBand="1"/>
      </w:tblPr>
      <w:tblGrid>
        <w:gridCol w:w="1018"/>
        <w:gridCol w:w="1999"/>
        <w:gridCol w:w="1172"/>
        <w:gridCol w:w="1551"/>
        <w:gridCol w:w="1214"/>
        <w:gridCol w:w="1228"/>
        <w:gridCol w:w="1282"/>
      </w:tblGrid>
      <w:tr w:rsidR="00B22447" w:rsidRPr="00B22447" w14:paraId="56A7B333" w14:textId="77777777" w:rsidTr="00C169BE">
        <w:trPr>
          <w:trHeight w:val="288"/>
        </w:trPr>
        <w:tc>
          <w:tcPr>
            <w:tcW w:w="1018" w:type="dxa"/>
            <w:hideMark/>
          </w:tcPr>
          <w:p w14:paraId="37C69BB7"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Redni broj</w:t>
            </w:r>
          </w:p>
        </w:tc>
        <w:tc>
          <w:tcPr>
            <w:tcW w:w="1999" w:type="dxa"/>
            <w:hideMark/>
          </w:tcPr>
          <w:p w14:paraId="5950922C"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Naziv poslovnog partnera</w:t>
            </w:r>
          </w:p>
        </w:tc>
        <w:tc>
          <w:tcPr>
            <w:tcW w:w="1172" w:type="dxa"/>
            <w:hideMark/>
          </w:tcPr>
          <w:p w14:paraId="030481E6"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Broj partnera</w:t>
            </w:r>
          </w:p>
        </w:tc>
        <w:tc>
          <w:tcPr>
            <w:tcW w:w="1551" w:type="dxa"/>
            <w:noWrap/>
            <w:hideMark/>
          </w:tcPr>
          <w:p w14:paraId="5EF7F4D9"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Broj računa</w:t>
            </w:r>
          </w:p>
        </w:tc>
        <w:tc>
          <w:tcPr>
            <w:tcW w:w="1214" w:type="dxa"/>
            <w:noWrap/>
            <w:hideMark/>
          </w:tcPr>
          <w:p w14:paraId="69790DB0"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Iznos</w:t>
            </w:r>
          </w:p>
        </w:tc>
        <w:tc>
          <w:tcPr>
            <w:tcW w:w="1228" w:type="dxa"/>
            <w:noWrap/>
            <w:hideMark/>
          </w:tcPr>
          <w:p w14:paraId="640EF625"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Datum računa</w:t>
            </w:r>
          </w:p>
        </w:tc>
        <w:tc>
          <w:tcPr>
            <w:tcW w:w="1282" w:type="dxa"/>
            <w:noWrap/>
            <w:hideMark/>
          </w:tcPr>
          <w:p w14:paraId="2D05E826"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Valutacija</w:t>
            </w:r>
          </w:p>
        </w:tc>
      </w:tr>
      <w:tr w:rsidR="00B22447" w:rsidRPr="00B22447" w14:paraId="50ACD2A0" w14:textId="77777777" w:rsidTr="00C169BE">
        <w:trPr>
          <w:trHeight w:val="576"/>
        </w:trPr>
        <w:tc>
          <w:tcPr>
            <w:tcW w:w="1018" w:type="dxa"/>
            <w:hideMark/>
          </w:tcPr>
          <w:p w14:paraId="7A928A9C"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1</w:t>
            </w:r>
          </w:p>
        </w:tc>
        <w:tc>
          <w:tcPr>
            <w:tcW w:w="1999" w:type="dxa"/>
            <w:hideMark/>
          </w:tcPr>
          <w:p w14:paraId="62DC6FC4"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Dječji vrtić "Katarina Frankopan"</w:t>
            </w:r>
          </w:p>
        </w:tc>
        <w:tc>
          <w:tcPr>
            <w:tcW w:w="1172" w:type="dxa"/>
            <w:hideMark/>
          </w:tcPr>
          <w:p w14:paraId="3DB89E07"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16</w:t>
            </w:r>
          </w:p>
        </w:tc>
        <w:tc>
          <w:tcPr>
            <w:tcW w:w="1551" w:type="dxa"/>
            <w:noWrap/>
            <w:hideMark/>
          </w:tcPr>
          <w:p w14:paraId="6E9334A1"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23-93</w:t>
            </w:r>
          </w:p>
        </w:tc>
        <w:tc>
          <w:tcPr>
            <w:tcW w:w="1214" w:type="dxa"/>
            <w:noWrap/>
            <w:hideMark/>
          </w:tcPr>
          <w:p w14:paraId="2056E646"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33,18 €</w:t>
            </w:r>
          </w:p>
        </w:tc>
        <w:tc>
          <w:tcPr>
            <w:tcW w:w="1228" w:type="dxa"/>
            <w:noWrap/>
            <w:hideMark/>
          </w:tcPr>
          <w:p w14:paraId="40CCC08E"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31.12.23.</w:t>
            </w:r>
          </w:p>
        </w:tc>
        <w:tc>
          <w:tcPr>
            <w:tcW w:w="1282" w:type="dxa"/>
            <w:noWrap/>
            <w:hideMark/>
          </w:tcPr>
          <w:p w14:paraId="0A03D91D"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15.01.24.</w:t>
            </w:r>
          </w:p>
        </w:tc>
      </w:tr>
      <w:tr w:rsidR="00B22447" w:rsidRPr="00B22447" w14:paraId="368A4A0F" w14:textId="77777777" w:rsidTr="00C169BE">
        <w:trPr>
          <w:trHeight w:val="288"/>
        </w:trPr>
        <w:tc>
          <w:tcPr>
            <w:tcW w:w="1018" w:type="dxa"/>
            <w:hideMark/>
          </w:tcPr>
          <w:p w14:paraId="11191A98"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2</w:t>
            </w:r>
          </w:p>
        </w:tc>
        <w:tc>
          <w:tcPr>
            <w:tcW w:w="1999" w:type="dxa"/>
            <w:hideMark/>
          </w:tcPr>
          <w:p w14:paraId="0B1E043A"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Grad Krk</w:t>
            </w:r>
          </w:p>
        </w:tc>
        <w:tc>
          <w:tcPr>
            <w:tcW w:w="1172" w:type="dxa"/>
            <w:hideMark/>
          </w:tcPr>
          <w:p w14:paraId="1994D1BB"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1664</w:t>
            </w:r>
          </w:p>
        </w:tc>
        <w:tc>
          <w:tcPr>
            <w:tcW w:w="1551" w:type="dxa"/>
            <w:noWrap/>
            <w:hideMark/>
          </w:tcPr>
          <w:p w14:paraId="7D3EB04C"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23-94</w:t>
            </w:r>
          </w:p>
        </w:tc>
        <w:tc>
          <w:tcPr>
            <w:tcW w:w="1214" w:type="dxa"/>
            <w:noWrap/>
            <w:hideMark/>
          </w:tcPr>
          <w:p w14:paraId="68FE4ABE"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33,18 €</w:t>
            </w:r>
          </w:p>
        </w:tc>
        <w:tc>
          <w:tcPr>
            <w:tcW w:w="1228" w:type="dxa"/>
            <w:noWrap/>
            <w:hideMark/>
          </w:tcPr>
          <w:p w14:paraId="7E865407"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31.12.23.</w:t>
            </w:r>
          </w:p>
        </w:tc>
        <w:tc>
          <w:tcPr>
            <w:tcW w:w="1282" w:type="dxa"/>
            <w:noWrap/>
            <w:hideMark/>
          </w:tcPr>
          <w:p w14:paraId="02529E29"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15.01.24.</w:t>
            </w:r>
          </w:p>
        </w:tc>
      </w:tr>
      <w:tr w:rsidR="00B22447" w:rsidRPr="00B22447" w14:paraId="706AE7CF" w14:textId="77777777" w:rsidTr="00C169BE">
        <w:trPr>
          <w:trHeight w:val="288"/>
        </w:trPr>
        <w:tc>
          <w:tcPr>
            <w:tcW w:w="1018" w:type="dxa"/>
            <w:hideMark/>
          </w:tcPr>
          <w:p w14:paraId="72480002"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3</w:t>
            </w:r>
          </w:p>
        </w:tc>
        <w:tc>
          <w:tcPr>
            <w:tcW w:w="1999" w:type="dxa"/>
            <w:hideMark/>
          </w:tcPr>
          <w:p w14:paraId="4F354669"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Krk moto d.o.o.</w:t>
            </w:r>
          </w:p>
        </w:tc>
        <w:tc>
          <w:tcPr>
            <w:tcW w:w="1172" w:type="dxa"/>
            <w:hideMark/>
          </w:tcPr>
          <w:p w14:paraId="49DB0362"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1629</w:t>
            </w:r>
          </w:p>
        </w:tc>
        <w:tc>
          <w:tcPr>
            <w:tcW w:w="1551" w:type="dxa"/>
            <w:noWrap/>
            <w:hideMark/>
          </w:tcPr>
          <w:p w14:paraId="721DAD40"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23-95</w:t>
            </w:r>
          </w:p>
        </w:tc>
        <w:tc>
          <w:tcPr>
            <w:tcW w:w="1214" w:type="dxa"/>
            <w:noWrap/>
            <w:hideMark/>
          </w:tcPr>
          <w:p w14:paraId="778C6A9B"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33,18 €</w:t>
            </w:r>
          </w:p>
        </w:tc>
        <w:tc>
          <w:tcPr>
            <w:tcW w:w="1228" w:type="dxa"/>
            <w:noWrap/>
            <w:hideMark/>
          </w:tcPr>
          <w:p w14:paraId="60E2ADF9"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31.12.23.</w:t>
            </w:r>
          </w:p>
        </w:tc>
        <w:tc>
          <w:tcPr>
            <w:tcW w:w="1282" w:type="dxa"/>
            <w:noWrap/>
            <w:hideMark/>
          </w:tcPr>
          <w:p w14:paraId="7339186C"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15.01.24.</w:t>
            </w:r>
          </w:p>
        </w:tc>
      </w:tr>
      <w:tr w:rsidR="00B22447" w:rsidRPr="00B22447" w14:paraId="4F620F28" w14:textId="77777777" w:rsidTr="00C169BE">
        <w:trPr>
          <w:trHeight w:val="288"/>
        </w:trPr>
        <w:tc>
          <w:tcPr>
            <w:tcW w:w="1018" w:type="dxa"/>
            <w:hideMark/>
          </w:tcPr>
          <w:p w14:paraId="504BE4B6"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4</w:t>
            </w:r>
          </w:p>
        </w:tc>
        <w:tc>
          <w:tcPr>
            <w:tcW w:w="1999" w:type="dxa"/>
            <w:hideMark/>
          </w:tcPr>
          <w:p w14:paraId="0A920558"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Mihaela Kajtazović</w:t>
            </w:r>
          </w:p>
        </w:tc>
        <w:tc>
          <w:tcPr>
            <w:tcW w:w="1172" w:type="dxa"/>
            <w:hideMark/>
          </w:tcPr>
          <w:p w14:paraId="1EE3B1AD"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5113</w:t>
            </w:r>
          </w:p>
        </w:tc>
        <w:tc>
          <w:tcPr>
            <w:tcW w:w="1551" w:type="dxa"/>
            <w:noWrap/>
            <w:hideMark/>
          </w:tcPr>
          <w:p w14:paraId="2023EFE0"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23-67</w:t>
            </w:r>
          </w:p>
        </w:tc>
        <w:tc>
          <w:tcPr>
            <w:tcW w:w="1214" w:type="dxa"/>
            <w:noWrap/>
            <w:hideMark/>
          </w:tcPr>
          <w:p w14:paraId="1DB6166E"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73,00 €</w:t>
            </w:r>
          </w:p>
        </w:tc>
        <w:tc>
          <w:tcPr>
            <w:tcW w:w="1228" w:type="dxa"/>
            <w:noWrap/>
            <w:hideMark/>
          </w:tcPr>
          <w:p w14:paraId="6D873A52"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28.08.23.</w:t>
            </w:r>
          </w:p>
        </w:tc>
        <w:tc>
          <w:tcPr>
            <w:tcW w:w="1282" w:type="dxa"/>
            <w:noWrap/>
            <w:hideMark/>
          </w:tcPr>
          <w:p w14:paraId="77D55D1D"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12.09.23.</w:t>
            </w:r>
          </w:p>
        </w:tc>
      </w:tr>
      <w:tr w:rsidR="00B22447" w:rsidRPr="00B22447" w14:paraId="0D64A992" w14:textId="77777777" w:rsidTr="00C169BE">
        <w:trPr>
          <w:trHeight w:val="288"/>
        </w:trPr>
        <w:tc>
          <w:tcPr>
            <w:tcW w:w="1018" w:type="dxa"/>
            <w:noWrap/>
            <w:hideMark/>
          </w:tcPr>
          <w:p w14:paraId="7FEC417A"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5</w:t>
            </w:r>
          </w:p>
        </w:tc>
        <w:tc>
          <w:tcPr>
            <w:tcW w:w="1999" w:type="dxa"/>
            <w:hideMark/>
          </w:tcPr>
          <w:p w14:paraId="2598DE42"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Shop Park Krk d.o.o.</w:t>
            </w:r>
          </w:p>
        </w:tc>
        <w:tc>
          <w:tcPr>
            <w:tcW w:w="1172" w:type="dxa"/>
            <w:noWrap/>
            <w:hideMark/>
          </w:tcPr>
          <w:p w14:paraId="7493440B"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4335</w:t>
            </w:r>
          </w:p>
        </w:tc>
        <w:tc>
          <w:tcPr>
            <w:tcW w:w="1551" w:type="dxa"/>
            <w:noWrap/>
            <w:hideMark/>
          </w:tcPr>
          <w:p w14:paraId="50A6516E"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23-97</w:t>
            </w:r>
          </w:p>
        </w:tc>
        <w:tc>
          <w:tcPr>
            <w:tcW w:w="1214" w:type="dxa"/>
            <w:noWrap/>
            <w:hideMark/>
          </w:tcPr>
          <w:p w14:paraId="178ED77C"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99,54 €</w:t>
            </w:r>
          </w:p>
        </w:tc>
        <w:tc>
          <w:tcPr>
            <w:tcW w:w="1228" w:type="dxa"/>
            <w:noWrap/>
            <w:hideMark/>
          </w:tcPr>
          <w:p w14:paraId="5DED6073"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31.12.23.</w:t>
            </w:r>
          </w:p>
        </w:tc>
        <w:tc>
          <w:tcPr>
            <w:tcW w:w="1282" w:type="dxa"/>
            <w:noWrap/>
            <w:hideMark/>
          </w:tcPr>
          <w:p w14:paraId="769A02A7"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15.01.24.</w:t>
            </w:r>
          </w:p>
        </w:tc>
      </w:tr>
      <w:tr w:rsidR="00B22447" w:rsidRPr="00B22447" w14:paraId="41167770" w14:textId="77777777" w:rsidTr="00C169BE">
        <w:trPr>
          <w:trHeight w:val="288"/>
        </w:trPr>
        <w:tc>
          <w:tcPr>
            <w:tcW w:w="1018" w:type="dxa"/>
            <w:noWrap/>
            <w:hideMark/>
          </w:tcPr>
          <w:p w14:paraId="69CA04E7"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6</w:t>
            </w:r>
          </w:p>
        </w:tc>
        <w:tc>
          <w:tcPr>
            <w:tcW w:w="1999" w:type="dxa"/>
            <w:hideMark/>
          </w:tcPr>
          <w:p w14:paraId="062AFAF9"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Trgovina Krk d.d.</w:t>
            </w:r>
          </w:p>
        </w:tc>
        <w:tc>
          <w:tcPr>
            <w:tcW w:w="1172" w:type="dxa"/>
            <w:noWrap/>
            <w:hideMark/>
          </w:tcPr>
          <w:p w14:paraId="39EAC8E5"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35</w:t>
            </w:r>
          </w:p>
        </w:tc>
        <w:tc>
          <w:tcPr>
            <w:tcW w:w="1551" w:type="dxa"/>
            <w:noWrap/>
            <w:hideMark/>
          </w:tcPr>
          <w:p w14:paraId="7F29D9FF"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23-96</w:t>
            </w:r>
          </w:p>
        </w:tc>
        <w:tc>
          <w:tcPr>
            <w:tcW w:w="1214" w:type="dxa"/>
            <w:noWrap/>
            <w:hideMark/>
          </w:tcPr>
          <w:p w14:paraId="039CFF8E"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318,54 €</w:t>
            </w:r>
          </w:p>
        </w:tc>
        <w:tc>
          <w:tcPr>
            <w:tcW w:w="1228" w:type="dxa"/>
            <w:noWrap/>
            <w:hideMark/>
          </w:tcPr>
          <w:p w14:paraId="39049E10"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31.12.23.</w:t>
            </w:r>
          </w:p>
        </w:tc>
        <w:tc>
          <w:tcPr>
            <w:tcW w:w="1282" w:type="dxa"/>
            <w:noWrap/>
            <w:hideMark/>
          </w:tcPr>
          <w:p w14:paraId="01309D7D"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15.01.24.</w:t>
            </w:r>
          </w:p>
        </w:tc>
      </w:tr>
      <w:tr w:rsidR="00B22447" w:rsidRPr="00B22447" w14:paraId="7A782707" w14:textId="77777777" w:rsidTr="00C169BE">
        <w:trPr>
          <w:trHeight w:val="288"/>
        </w:trPr>
        <w:tc>
          <w:tcPr>
            <w:tcW w:w="1018" w:type="dxa"/>
            <w:noWrap/>
            <w:hideMark/>
          </w:tcPr>
          <w:p w14:paraId="15F0D1EB"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7</w:t>
            </w:r>
          </w:p>
        </w:tc>
        <w:tc>
          <w:tcPr>
            <w:tcW w:w="1999" w:type="dxa"/>
            <w:hideMark/>
          </w:tcPr>
          <w:p w14:paraId="52B1D539"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Vlado Ostojić</w:t>
            </w:r>
          </w:p>
        </w:tc>
        <w:tc>
          <w:tcPr>
            <w:tcW w:w="1172" w:type="dxa"/>
            <w:noWrap/>
            <w:hideMark/>
          </w:tcPr>
          <w:p w14:paraId="0B4DD609"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5070</w:t>
            </w:r>
          </w:p>
        </w:tc>
        <w:tc>
          <w:tcPr>
            <w:tcW w:w="1551" w:type="dxa"/>
            <w:noWrap/>
            <w:hideMark/>
          </w:tcPr>
          <w:p w14:paraId="4418C114"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23-98</w:t>
            </w:r>
          </w:p>
        </w:tc>
        <w:tc>
          <w:tcPr>
            <w:tcW w:w="1214" w:type="dxa"/>
            <w:noWrap/>
            <w:hideMark/>
          </w:tcPr>
          <w:p w14:paraId="04B403BF"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53,09 €</w:t>
            </w:r>
          </w:p>
        </w:tc>
        <w:tc>
          <w:tcPr>
            <w:tcW w:w="1228" w:type="dxa"/>
            <w:noWrap/>
            <w:hideMark/>
          </w:tcPr>
          <w:p w14:paraId="090063F2"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31.12.23.</w:t>
            </w:r>
          </w:p>
        </w:tc>
        <w:tc>
          <w:tcPr>
            <w:tcW w:w="1282" w:type="dxa"/>
            <w:noWrap/>
            <w:hideMark/>
          </w:tcPr>
          <w:p w14:paraId="6F06FF2C"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15.01.24.</w:t>
            </w:r>
          </w:p>
        </w:tc>
      </w:tr>
      <w:tr w:rsidR="00B22447" w:rsidRPr="00B22447" w14:paraId="6C730E0D" w14:textId="77777777" w:rsidTr="00C169BE">
        <w:trPr>
          <w:trHeight w:val="288"/>
        </w:trPr>
        <w:tc>
          <w:tcPr>
            <w:tcW w:w="1018" w:type="dxa"/>
            <w:noWrap/>
            <w:hideMark/>
          </w:tcPr>
          <w:p w14:paraId="6E7E350C"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 </w:t>
            </w:r>
          </w:p>
        </w:tc>
        <w:tc>
          <w:tcPr>
            <w:tcW w:w="1999" w:type="dxa"/>
            <w:noWrap/>
            <w:hideMark/>
          </w:tcPr>
          <w:p w14:paraId="7AC5F0C9"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Ukupno:</w:t>
            </w:r>
          </w:p>
        </w:tc>
        <w:tc>
          <w:tcPr>
            <w:tcW w:w="1172" w:type="dxa"/>
            <w:noWrap/>
            <w:hideMark/>
          </w:tcPr>
          <w:p w14:paraId="16B350B9"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 </w:t>
            </w:r>
          </w:p>
        </w:tc>
        <w:tc>
          <w:tcPr>
            <w:tcW w:w="1551" w:type="dxa"/>
            <w:noWrap/>
            <w:hideMark/>
          </w:tcPr>
          <w:p w14:paraId="782C8CDD"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 </w:t>
            </w:r>
          </w:p>
        </w:tc>
        <w:tc>
          <w:tcPr>
            <w:tcW w:w="1214" w:type="dxa"/>
            <w:noWrap/>
            <w:hideMark/>
          </w:tcPr>
          <w:p w14:paraId="6024FB4F"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643,71 €</w:t>
            </w:r>
          </w:p>
        </w:tc>
        <w:tc>
          <w:tcPr>
            <w:tcW w:w="1228" w:type="dxa"/>
            <w:noWrap/>
            <w:hideMark/>
          </w:tcPr>
          <w:p w14:paraId="05C9FDD0"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 </w:t>
            </w:r>
          </w:p>
        </w:tc>
        <w:tc>
          <w:tcPr>
            <w:tcW w:w="1282" w:type="dxa"/>
            <w:noWrap/>
            <w:hideMark/>
          </w:tcPr>
          <w:p w14:paraId="311ACE8F" w14:textId="77777777" w:rsidR="00B22447" w:rsidRPr="00B22447" w:rsidRDefault="00B22447" w:rsidP="00B22447">
            <w:pPr>
              <w:rPr>
                <w:rFonts w:ascii="Calibri" w:hAnsi="Calibri" w:cs="Calibri"/>
                <w:b/>
                <w:bCs/>
                <w:lang w:eastAsia="hr-HR"/>
              </w:rPr>
            </w:pPr>
            <w:r w:rsidRPr="00B22447">
              <w:rPr>
                <w:rFonts w:ascii="Calibri" w:hAnsi="Calibri" w:cs="Calibri"/>
                <w:b/>
                <w:bCs/>
                <w:lang w:eastAsia="hr-HR"/>
              </w:rPr>
              <w:t> </w:t>
            </w:r>
          </w:p>
        </w:tc>
      </w:tr>
    </w:tbl>
    <w:p w14:paraId="14EEFB37" w14:textId="77777777" w:rsidR="00B22447" w:rsidRPr="00B22447" w:rsidRDefault="00B22447" w:rsidP="00B22447">
      <w:pPr>
        <w:tabs>
          <w:tab w:val="center" w:pos="4536"/>
          <w:tab w:val="right" w:pos="9072"/>
        </w:tabs>
        <w:spacing w:after="0" w:line="240" w:lineRule="auto"/>
        <w:rPr>
          <w:rFonts w:ascii="Calibri" w:eastAsia="Times New Roman" w:hAnsi="Calibri" w:cs="Calibri"/>
          <w:bCs/>
          <w:kern w:val="0"/>
          <w14:ligatures w14:val="none"/>
        </w:rPr>
      </w:pPr>
    </w:p>
    <w:p w14:paraId="2F283570" w14:textId="77777777" w:rsidR="00B22447" w:rsidRPr="00B22447" w:rsidRDefault="00B22447" w:rsidP="00B22447">
      <w:pPr>
        <w:spacing w:after="0" w:line="240" w:lineRule="auto"/>
        <w:rPr>
          <w:rFonts w:ascii="Calibri" w:eastAsia="Times New Roman" w:hAnsi="Calibri" w:cs="Calibri"/>
          <w:kern w:val="0"/>
          <w:lang w:eastAsia="hr-HR"/>
          <w14:ligatures w14:val="none"/>
        </w:rPr>
      </w:pPr>
    </w:p>
    <w:p w14:paraId="62D6B94E" w14:textId="3496D5F7" w:rsidR="00B22447" w:rsidRPr="00B22447" w:rsidRDefault="00B22447" w:rsidP="00B22447">
      <w:pPr>
        <w:tabs>
          <w:tab w:val="center" w:pos="4536"/>
          <w:tab w:val="right" w:pos="9072"/>
        </w:tabs>
        <w:spacing w:after="0" w:line="240" w:lineRule="auto"/>
        <w:jc w:val="both"/>
        <w:rPr>
          <w:rFonts w:eastAsia="Times New Roman" w:cs="Calibri"/>
          <w:b/>
          <w:kern w:val="0"/>
          <w14:ligatures w14:val="none"/>
        </w:rPr>
      </w:pPr>
    </w:p>
    <w:p w14:paraId="7F3B1972" w14:textId="77777777" w:rsidR="00B22447" w:rsidRDefault="00B22447" w:rsidP="00B22447">
      <w:pPr>
        <w:jc w:val="both"/>
        <w:rPr>
          <w:rFonts w:eastAsia="Times New Roman" w:cs="Calibri"/>
          <w:b/>
          <w:bCs/>
          <w:kern w:val="0"/>
          <w14:ligatures w14:val="none"/>
        </w:rPr>
      </w:pPr>
    </w:p>
    <w:p w14:paraId="021060CD" w14:textId="41DD9D6E" w:rsidR="00B22447" w:rsidRPr="00B22447" w:rsidRDefault="00B22447" w:rsidP="00B22447">
      <w:pPr>
        <w:jc w:val="both"/>
        <w:rPr>
          <w:rFonts w:eastAsia="Times New Roman" w:cs="Calibri"/>
          <w:kern w:val="0"/>
          <w14:ligatures w14:val="none"/>
        </w:rPr>
      </w:pPr>
      <w:r>
        <w:rPr>
          <w:rFonts w:eastAsia="Times New Roman" w:cs="Calibri"/>
          <w:b/>
          <w:bCs/>
          <w:kern w:val="0"/>
          <w14:ligatures w14:val="none"/>
        </w:rPr>
        <w:t xml:space="preserve">     </w:t>
      </w:r>
      <w:r w:rsidRPr="00B22447">
        <w:rPr>
          <w:rFonts w:eastAsia="Times New Roman" w:cs="Calibri"/>
          <w:b/>
          <w:bCs/>
          <w:kern w:val="0"/>
          <w14:ligatures w14:val="none"/>
        </w:rPr>
        <w:t>Ukupne obveze</w:t>
      </w:r>
      <w:r w:rsidRPr="00B22447">
        <w:rPr>
          <w:rFonts w:eastAsia="Times New Roman" w:cs="Calibri"/>
          <w:kern w:val="0"/>
          <w14:ligatures w14:val="none"/>
        </w:rPr>
        <w:t xml:space="preserve"> 31.12.2023. iznose 91.027,36 €., a sastoje se od obveza za zaposlene u ukupnom iznosu od 73.332,23 € (plaća za 12. mjesec isplaćena u 01. mjesecu 2024. godine), obveza za materijalne rashode u ukupnom iznosu od 5.087,42 €  (prijevoz djelatnika za 12. mjesec, tekući mjesečni rashodi  koji su dospjeli na naplatu početkom 2024. godine), od obveza za financijske rashode </w:t>
      </w:r>
      <w:r w:rsidRPr="00B22447">
        <w:rPr>
          <w:rFonts w:eastAsia="Times New Roman" w:cs="Calibri"/>
          <w:kern w:val="0"/>
          <w14:ligatures w14:val="none"/>
        </w:rPr>
        <w:lastRenderedPageBreak/>
        <w:t xml:space="preserve">za usluge platnog prometa u iznosu 63,84 €  (računi za 12 mjesec), od ostalih tekućih obveza u iznosu od 2.047,61 €, te od obveza za nabavu ne proizvedene dugotrajne imovine u iznosu od 10.496,26 €. Ostale tekuće obveze vezane su za obvezu povrata više dobivenih sredstava od Grada Krka na račun decentraliziranih funkcija vatrogastva. Grad Krk je na račun JVP Grada Krka do kraja tekuće godine uplatio ukupan planirani  iznos za financiranje decentraliziranih funkcija vatrogastva. Kako oni do kraja 2023. godine nisu dobili ukupna planirana sredstava pomoći izravnanja za decentralizirane funkcije poslali su nam uputu da izvršimo storniranje prihoda na 671 i knjižimo obvezu za povrat u iznosu od 2.047,61 €, dok su rashodi knjiženi u ukupnom iznosu čime je ostvaren metodološki manjak. </w:t>
      </w:r>
    </w:p>
    <w:p w14:paraId="495E5889" w14:textId="77777777" w:rsidR="00B22447" w:rsidRPr="00B22447" w:rsidRDefault="00B22447" w:rsidP="00B22447">
      <w:pPr>
        <w:spacing w:after="0" w:line="276" w:lineRule="auto"/>
        <w:rPr>
          <w:rFonts w:eastAsia="Times New Roman" w:cs="Times New Roman"/>
          <w:b/>
          <w:bCs/>
          <w:kern w:val="0"/>
          <w:sz w:val="28"/>
          <w14:ligatures w14:val="none"/>
        </w:rPr>
      </w:pPr>
      <w:r w:rsidRPr="00B22447">
        <w:rPr>
          <w:rFonts w:eastAsia="Times New Roman" w:cs="Calibri"/>
          <w:b/>
          <w:bCs/>
          <w:kern w:val="0"/>
          <w:lang w:eastAsia="hr-HR"/>
          <w14:ligatures w14:val="none"/>
        </w:rPr>
        <w:t xml:space="preserve">Ukupne dospjele obveze iznose 8.335,17 </w:t>
      </w:r>
      <w:r w:rsidRPr="00B22447">
        <w:rPr>
          <w:rFonts w:eastAsia="Times New Roman" w:cs="Calibri"/>
          <w:kern w:val="0"/>
          <w:lang w:eastAsia="hr-HR"/>
          <w14:ligatures w14:val="none"/>
        </w:rPr>
        <w:t>€</w:t>
      </w:r>
      <w:r w:rsidRPr="00B22447">
        <w:rPr>
          <w:rFonts w:eastAsia="Times New Roman" w:cs="Calibri"/>
          <w:b/>
          <w:bCs/>
          <w:kern w:val="0"/>
          <w:lang w:eastAsia="hr-HR"/>
          <w14:ligatures w14:val="none"/>
        </w:rPr>
        <w:t xml:space="preserve"> .</w:t>
      </w:r>
    </w:p>
    <w:p w14:paraId="4377653A" w14:textId="77777777" w:rsidR="00B22447" w:rsidRPr="00B22447" w:rsidRDefault="00B22447" w:rsidP="00B22447">
      <w:pPr>
        <w:tabs>
          <w:tab w:val="center" w:pos="4536"/>
          <w:tab w:val="right" w:pos="9072"/>
        </w:tabs>
        <w:spacing w:after="0" w:line="240" w:lineRule="auto"/>
        <w:jc w:val="both"/>
        <w:rPr>
          <w:rFonts w:eastAsia="Times New Roman" w:cs="Calibri"/>
          <w:b/>
          <w:kern w:val="0"/>
          <w14:ligatures w14:val="none"/>
        </w:rPr>
      </w:pPr>
      <w:r w:rsidRPr="00B22447">
        <w:rPr>
          <w:rFonts w:eastAsia="Times New Roman" w:cs="Calibri"/>
          <w:b/>
          <w:kern w:val="0"/>
          <w14:ligatures w14:val="none"/>
        </w:rPr>
        <w:t xml:space="preserve">Ukupne nedospjele obveze  iznose 80.644,58 </w:t>
      </w:r>
      <w:r w:rsidRPr="00B22447">
        <w:rPr>
          <w:rFonts w:eastAsia="Times New Roman" w:cs="Calibri"/>
          <w:kern w:val="0"/>
          <w14:ligatures w14:val="none"/>
        </w:rPr>
        <w:t>€</w:t>
      </w:r>
      <w:r w:rsidRPr="00B22447">
        <w:rPr>
          <w:rFonts w:eastAsia="Times New Roman" w:cs="Calibri"/>
          <w:b/>
          <w:kern w:val="0"/>
          <w14:ligatures w14:val="none"/>
        </w:rPr>
        <w:t>.</w:t>
      </w:r>
    </w:p>
    <w:p w14:paraId="56732A4D" w14:textId="77777777" w:rsidR="00B22447" w:rsidRPr="00B22447" w:rsidRDefault="00B22447" w:rsidP="00B22447">
      <w:pPr>
        <w:tabs>
          <w:tab w:val="center" w:pos="4536"/>
          <w:tab w:val="right" w:pos="9072"/>
        </w:tabs>
        <w:spacing w:after="0" w:line="240" w:lineRule="auto"/>
        <w:jc w:val="both"/>
        <w:rPr>
          <w:rFonts w:eastAsia="Times New Roman" w:cs="Calibri"/>
          <w:kern w:val="0"/>
          <w14:ligatures w14:val="none"/>
        </w:rPr>
      </w:pPr>
      <w:r w:rsidRPr="00B22447">
        <w:rPr>
          <w:rFonts w:eastAsia="Times New Roman" w:cs="Calibri"/>
          <w:b/>
          <w:kern w:val="0"/>
          <w14:ligatures w14:val="none"/>
        </w:rPr>
        <w:t xml:space="preserve">Međusobne obveze subjekata općeg proračuna iznose 2.047,61 </w:t>
      </w:r>
      <w:r w:rsidRPr="00B22447">
        <w:rPr>
          <w:rFonts w:eastAsia="Times New Roman" w:cs="Calibri"/>
          <w:kern w:val="0"/>
          <w14:ligatures w14:val="none"/>
        </w:rPr>
        <w:t>€</w:t>
      </w:r>
      <w:r w:rsidRPr="00B22447">
        <w:rPr>
          <w:rFonts w:eastAsia="Times New Roman" w:cs="Calibri"/>
          <w:b/>
          <w:kern w:val="0"/>
          <w14:ligatures w14:val="none"/>
        </w:rPr>
        <w:t>.</w:t>
      </w:r>
    </w:p>
    <w:p w14:paraId="611CD47F" w14:textId="1B2AA9B6" w:rsidR="00B22447" w:rsidRPr="00B22447" w:rsidRDefault="00B22447" w:rsidP="00B22447">
      <w:pPr>
        <w:spacing w:after="200" w:line="276" w:lineRule="auto"/>
        <w:jc w:val="both"/>
        <w:rPr>
          <w:rFonts w:eastAsia="Times New Roman" w:cs="Calibri"/>
          <w:kern w:val="0"/>
          <w14:ligatures w14:val="none"/>
        </w:rPr>
      </w:pPr>
    </w:p>
    <w:p w14:paraId="2A10F5DD" w14:textId="77777777" w:rsidR="00B22447" w:rsidRPr="00B22447" w:rsidRDefault="00B22447" w:rsidP="00B22447">
      <w:pPr>
        <w:spacing w:after="0" w:line="240" w:lineRule="auto"/>
        <w:ind w:left="360"/>
        <w:contextualSpacing/>
        <w:rPr>
          <w:rFonts w:eastAsia="Times New Roman" w:cs="Calibri"/>
          <w:b/>
          <w:kern w:val="0"/>
          <w:lang w:eastAsia="en-GB"/>
          <w14:ligatures w14:val="none"/>
        </w:rPr>
      </w:pPr>
      <w:r w:rsidRPr="00B22447">
        <w:rPr>
          <w:rFonts w:eastAsia="Times New Roman" w:cs="Calibri"/>
          <w:b/>
          <w:kern w:val="0"/>
          <w:lang w:eastAsia="en-GB"/>
          <w14:ligatures w14:val="none"/>
        </w:rPr>
        <w:t xml:space="preserve"> </w:t>
      </w:r>
    </w:p>
    <w:p w14:paraId="6E1A0006" w14:textId="3F6CA281" w:rsidR="00B22447" w:rsidRPr="00B22447" w:rsidRDefault="00B22447" w:rsidP="00B22447">
      <w:pPr>
        <w:spacing w:after="0" w:line="240" w:lineRule="auto"/>
        <w:jc w:val="both"/>
        <w:rPr>
          <w:rFonts w:eastAsia="Times New Roman" w:cs="Calibri"/>
          <w:kern w:val="0"/>
          <w:lang w:eastAsia="hr-HR"/>
          <w14:ligatures w14:val="none"/>
        </w:rPr>
      </w:pPr>
      <w:r>
        <w:rPr>
          <w:rFonts w:eastAsia="Times New Roman" w:cs="Calibri"/>
          <w:kern w:val="0"/>
          <w:lang w:eastAsia="hr-HR"/>
          <w14:ligatures w14:val="none"/>
        </w:rPr>
        <w:t xml:space="preserve">     </w:t>
      </w:r>
      <w:r w:rsidRPr="00B22447">
        <w:rPr>
          <w:rFonts w:eastAsia="Times New Roman" w:cs="Calibri"/>
          <w:kern w:val="0"/>
          <w:lang w:eastAsia="hr-HR"/>
          <w14:ligatures w14:val="none"/>
        </w:rPr>
        <w:t xml:space="preserve">Kroz izvanbilančnu evidenciju iz ranijih godina vodi se </w:t>
      </w:r>
      <w:bookmarkStart w:id="5" w:name="OLE_LINK43"/>
      <w:bookmarkStart w:id="6" w:name="OLE_LINK44"/>
      <w:bookmarkStart w:id="7" w:name="OLE_LINK45"/>
      <w:r w:rsidRPr="00B22447">
        <w:rPr>
          <w:rFonts w:eastAsia="Times New Roman" w:cs="Calibri"/>
          <w:kern w:val="0"/>
          <w:lang w:eastAsia="hr-HR"/>
          <w14:ligatures w14:val="none"/>
        </w:rPr>
        <w:t xml:space="preserve">Zgrada doma JVP-a </w:t>
      </w:r>
      <w:bookmarkEnd w:id="5"/>
      <w:bookmarkEnd w:id="6"/>
      <w:bookmarkEnd w:id="7"/>
      <w:r w:rsidRPr="00B22447">
        <w:rPr>
          <w:rFonts w:eastAsia="Times New Roman" w:cs="Calibri"/>
          <w:kern w:val="0"/>
          <w:lang w:eastAsia="hr-HR"/>
          <w14:ligatures w14:val="none"/>
        </w:rPr>
        <w:t xml:space="preserve">koja je u vlasništvu Grada Krka (prema njihovoj kartici osnovnog sredstva, koja u naravi  obuhvaća zgradu i okućnicu), te izdana bjanko zadužnice za korištenje INA kartica za gorivo. Od  2019. godine  u izvanbilančnu evidenciji vodi se i Mitsubishi Pick up L-200 DC INTESE, kojeg smo dobili na korištenje od Ministarstva poljoprivrede, odnosno HVZ-a. U 2021.g. od Ministarstva unutarnjih poslova dobili smo na korištenje navalno vozilo-dugo Mercedes-Benz Atego. Od firme Absolute d.o.o. iz Šila dobili smo na korištenje centralni dojavni sustav za prijem signala za dojavu požara, na koji se moraju spojiti svi noviji objekti koji imaju ugrađen sustav za rano otkrivanje i dojavu požara sukladno odredbama Zakona o vatrogastvu. </w:t>
      </w:r>
    </w:p>
    <w:p w14:paraId="767FDD9D" w14:textId="77777777" w:rsidR="00B22447" w:rsidRPr="00B22447" w:rsidRDefault="00B22447" w:rsidP="00B22447">
      <w:pPr>
        <w:spacing w:after="0" w:line="240" w:lineRule="auto"/>
        <w:rPr>
          <w:rFonts w:eastAsia="Times New Roman" w:cs="Calibri"/>
          <w:kern w:val="0"/>
          <w:lang w:eastAsia="hr-HR"/>
          <w14:ligatures w14:val="none"/>
        </w:rPr>
      </w:pPr>
    </w:p>
    <w:p w14:paraId="2265BE8E" w14:textId="10B24D57" w:rsidR="00B22447" w:rsidRPr="00B22447" w:rsidRDefault="00B22447" w:rsidP="00B22447">
      <w:pPr>
        <w:tabs>
          <w:tab w:val="center" w:pos="4536"/>
          <w:tab w:val="right" w:pos="9072"/>
        </w:tabs>
        <w:spacing w:after="0" w:line="240" w:lineRule="auto"/>
        <w:jc w:val="both"/>
        <w:rPr>
          <w:rFonts w:eastAsia="Times New Roman" w:cs="Calibri"/>
          <w:b/>
          <w:kern w:val="0"/>
          <w:u w:val="single"/>
          <w14:ligatures w14:val="none"/>
        </w:rPr>
      </w:pPr>
      <w:r w:rsidRPr="00B22447">
        <w:rPr>
          <w:rFonts w:ascii="Times New Roman" w:eastAsia="Times New Roman" w:hAnsi="Times New Roman" w:cs="Times New Roman"/>
          <w:noProof/>
          <w:kern w:val="0"/>
          <w:sz w:val="24"/>
          <w:szCs w:val="24"/>
          <w14:ligatures w14:val="none"/>
        </w:rPr>
        <w:drawing>
          <wp:inline distT="0" distB="0" distL="0" distR="0" wp14:anchorId="311EE384" wp14:editId="6CEE6555">
            <wp:extent cx="5695950" cy="4171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95950" cy="4171950"/>
                    </a:xfrm>
                    <a:prstGeom prst="rect">
                      <a:avLst/>
                    </a:prstGeom>
                    <a:noFill/>
                    <a:ln>
                      <a:noFill/>
                    </a:ln>
                  </pic:spPr>
                </pic:pic>
              </a:graphicData>
            </a:graphic>
          </wp:inline>
        </w:drawing>
      </w:r>
    </w:p>
    <w:p w14:paraId="344C246E" w14:textId="77777777" w:rsidR="00B22447" w:rsidRPr="00B22447" w:rsidRDefault="00B22447" w:rsidP="00B22447">
      <w:pPr>
        <w:tabs>
          <w:tab w:val="center" w:pos="4536"/>
          <w:tab w:val="right" w:pos="9072"/>
        </w:tabs>
        <w:spacing w:after="0" w:line="240" w:lineRule="auto"/>
        <w:jc w:val="both"/>
        <w:rPr>
          <w:rFonts w:eastAsia="Times New Roman" w:cs="Calibri"/>
          <w:b/>
          <w:kern w:val="0"/>
          <w:u w:val="single"/>
          <w14:ligatures w14:val="none"/>
        </w:rPr>
      </w:pPr>
    </w:p>
    <w:p w14:paraId="23D08343" w14:textId="77777777" w:rsidR="00B22447" w:rsidRPr="00B22447" w:rsidRDefault="00B22447" w:rsidP="00B22447">
      <w:pPr>
        <w:rPr>
          <w:b/>
          <w:bCs/>
        </w:rPr>
      </w:pPr>
    </w:p>
    <w:p w14:paraId="5AC2DDCA" w14:textId="7A751F34" w:rsidR="00792472" w:rsidRPr="00AD60AE" w:rsidRDefault="00792472" w:rsidP="00AD60AE">
      <w:pPr>
        <w:pStyle w:val="ListParagraph"/>
        <w:numPr>
          <w:ilvl w:val="0"/>
          <w:numId w:val="2"/>
        </w:numPr>
        <w:ind w:left="284" w:hanging="284"/>
        <w:rPr>
          <w:b/>
          <w:bCs/>
        </w:rPr>
      </w:pPr>
      <w:r w:rsidRPr="00AD60AE">
        <w:rPr>
          <w:b/>
          <w:bCs/>
        </w:rPr>
        <w:lastRenderedPageBreak/>
        <w:t>OBRAZLOŽENJE PROGRAMA</w:t>
      </w:r>
    </w:p>
    <w:p w14:paraId="65F4C82F" w14:textId="13A98B83" w:rsidR="00792472" w:rsidRDefault="00792472" w:rsidP="00AD60AE">
      <w:pPr>
        <w:jc w:val="both"/>
      </w:pPr>
      <w:r>
        <w:t>Financijski plan JVP Grada Krka za 2023. godinu izrađen je temeljem Zakona o proračunu (Narodne novine br. 144/21), Pravilnika o proračunskim klasifikacijama (Narodne novine br.26/10, 120/13 i 1/20), Pravilnika o proračunskom računovodstvu i računskom planu (Narodne novine br. 124/14, 115/15, 87/16, 3/18, 126/19 i 108/20), Zakona o fiskalnoj odgovornosti (Narodne novine broj 111/18. i 83/23.),  na procjeni ostvarenja vlastitih prihoda i rashoda, te na temelju Uputa za izradu Proračuna Grada Krka za razdoblje od 2023. – 2025. godine.</w:t>
      </w:r>
    </w:p>
    <w:p w14:paraId="7AB0A2CA" w14:textId="77777777" w:rsidR="00792472" w:rsidRDefault="00792472" w:rsidP="00792472">
      <w:r>
        <w:t>Financijski plan JVP Grada Krka za  2023.  godinu planiran je kroz jedan program:</w:t>
      </w:r>
    </w:p>
    <w:p w14:paraId="65622461" w14:textId="325ACF53" w:rsidR="00792472" w:rsidRPr="00AD60AE" w:rsidRDefault="00792472" w:rsidP="00AD60AE">
      <w:pPr>
        <w:pStyle w:val="ListParagraph"/>
        <w:numPr>
          <w:ilvl w:val="0"/>
          <w:numId w:val="7"/>
        </w:numPr>
        <w:rPr>
          <w:b/>
          <w:bCs/>
          <w:i/>
          <w:iCs/>
        </w:rPr>
      </w:pPr>
      <w:r w:rsidRPr="00AD60AE">
        <w:rPr>
          <w:b/>
          <w:bCs/>
          <w:i/>
          <w:iCs/>
        </w:rPr>
        <w:t>Program 5001: Organiziranje i provođenje zaštite i spašavanja.</w:t>
      </w:r>
    </w:p>
    <w:p w14:paraId="011A86F7" w14:textId="77777777" w:rsidR="00792472" w:rsidRDefault="00792472" w:rsidP="001A05F2">
      <w:pPr>
        <w:spacing w:after="0"/>
      </w:pPr>
      <w:r>
        <w:t>Program će se provoditi u slijedećim aktivnostima:</w:t>
      </w:r>
    </w:p>
    <w:p w14:paraId="71B87085" w14:textId="40E32BDD" w:rsidR="00792472" w:rsidRDefault="00792472" w:rsidP="001A05F2">
      <w:pPr>
        <w:pStyle w:val="ListParagraph"/>
        <w:numPr>
          <w:ilvl w:val="0"/>
          <w:numId w:val="7"/>
        </w:numPr>
      </w:pPr>
      <w:r>
        <w:t>A500101: Javna vatrogasna postrojba – redovna djelatnost,</w:t>
      </w:r>
    </w:p>
    <w:p w14:paraId="4BC18066" w14:textId="0D3486D7" w:rsidR="00792472" w:rsidRDefault="00792472" w:rsidP="001A05F2">
      <w:pPr>
        <w:pStyle w:val="ListParagraph"/>
        <w:numPr>
          <w:ilvl w:val="0"/>
          <w:numId w:val="7"/>
        </w:numPr>
      </w:pPr>
      <w:r>
        <w:t>A500102: Javna vatrogasna postrojba – redovna djelatnost otočke općine,</w:t>
      </w:r>
    </w:p>
    <w:p w14:paraId="5967A597" w14:textId="474D7A99" w:rsidR="00792472" w:rsidRDefault="00792472" w:rsidP="001A05F2">
      <w:pPr>
        <w:pStyle w:val="ListParagraph"/>
        <w:numPr>
          <w:ilvl w:val="0"/>
          <w:numId w:val="7"/>
        </w:numPr>
      </w:pPr>
      <w:r>
        <w:t>A500103: Javna vatrogasna postrojba – redovna djelatnost iz decentraliziranih funkcija,</w:t>
      </w:r>
    </w:p>
    <w:p w14:paraId="78487834" w14:textId="7CEEA5FF" w:rsidR="00792472" w:rsidRDefault="00792472" w:rsidP="001A05F2">
      <w:pPr>
        <w:pStyle w:val="ListParagraph"/>
        <w:numPr>
          <w:ilvl w:val="0"/>
          <w:numId w:val="7"/>
        </w:numPr>
      </w:pPr>
      <w:r>
        <w:t>A500104: Javna vatrogasna postrojba – redovna djelatnost financirana iz vlastitih sredstva i donacija,</w:t>
      </w:r>
    </w:p>
    <w:p w14:paraId="0F3867BE" w14:textId="77B1BABA" w:rsidR="00792472" w:rsidRDefault="00792472" w:rsidP="001A05F2">
      <w:pPr>
        <w:pStyle w:val="ListParagraph"/>
        <w:numPr>
          <w:ilvl w:val="0"/>
          <w:numId w:val="7"/>
        </w:numPr>
      </w:pPr>
      <w:r>
        <w:t>A500111: Javna vatrogasna postrojba – dislokacija – pomoći iz nenadležnog proračuna,</w:t>
      </w:r>
    </w:p>
    <w:p w14:paraId="01F09974" w14:textId="7CE159F4" w:rsidR="00792472" w:rsidRDefault="00792472" w:rsidP="001A05F2">
      <w:pPr>
        <w:pStyle w:val="ListParagraph"/>
        <w:numPr>
          <w:ilvl w:val="0"/>
          <w:numId w:val="7"/>
        </w:numPr>
      </w:pPr>
      <w:r>
        <w:t>A500115: Javna vatrogasna postrojba – vlastita djelatnost,</w:t>
      </w:r>
    </w:p>
    <w:p w14:paraId="063B97D0" w14:textId="27AE7E30" w:rsidR="00792472" w:rsidRDefault="00792472" w:rsidP="001A05F2">
      <w:pPr>
        <w:pStyle w:val="ListParagraph"/>
        <w:numPr>
          <w:ilvl w:val="0"/>
          <w:numId w:val="7"/>
        </w:numPr>
      </w:pPr>
      <w:r>
        <w:t>A500117: Javna vatrogasna postrojba – pomoći iz nenadležnog proračuna,</w:t>
      </w:r>
    </w:p>
    <w:p w14:paraId="373BC189" w14:textId="63A19529" w:rsidR="00792472" w:rsidRDefault="00792472" w:rsidP="001A05F2">
      <w:pPr>
        <w:pStyle w:val="ListParagraph"/>
        <w:numPr>
          <w:ilvl w:val="0"/>
          <w:numId w:val="7"/>
        </w:numPr>
      </w:pPr>
      <w:r>
        <w:t>K500105: Javna vatrogasna postrojba – objekti, vozila, oprema – donacije,</w:t>
      </w:r>
    </w:p>
    <w:p w14:paraId="0A7C6D5F" w14:textId="7337BA3E" w:rsidR="00792472" w:rsidRDefault="00792472" w:rsidP="001A05F2">
      <w:pPr>
        <w:pStyle w:val="ListParagraph"/>
        <w:numPr>
          <w:ilvl w:val="0"/>
          <w:numId w:val="7"/>
        </w:numPr>
      </w:pPr>
      <w:r>
        <w:t>K500107: Javna vatrogasna postrojba – vlastita oprema i prijevozna sredstva,</w:t>
      </w:r>
    </w:p>
    <w:p w14:paraId="627C7A13" w14:textId="1EE104E5" w:rsidR="00792472" w:rsidRDefault="00792472" w:rsidP="001A05F2">
      <w:pPr>
        <w:pStyle w:val="ListParagraph"/>
        <w:numPr>
          <w:ilvl w:val="0"/>
          <w:numId w:val="7"/>
        </w:numPr>
      </w:pPr>
      <w:r>
        <w:t>K500113: Javna vatrogasna postrojba – oprema – nenadležni proračun,</w:t>
      </w:r>
    </w:p>
    <w:p w14:paraId="41D63831" w14:textId="374282A9" w:rsidR="00792472" w:rsidRDefault="00792472" w:rsidP="00792472">
      <w:pPr>
        <w:pStyle w:val="ListParagraph"/>
        <w:numPr>
          <w:ilvl w:val="0"/>
          <w:numId w:val="7"/>
        </w:numPr>
      </w:pPr>
      <w:r>
        <w:t>K500118: Javna vatrogasna postrojba – pomoći iz nenadležnog proračuna.</w:t>
      </w:r>
    </w:p>
    <w:p w14:paraId="165138A3" w14:textId="44F68880" w:rsidR="001A05F2" w:rsidRDefault="001A05F2" w:rsidP="00792472">
      <w:r w:rsidRPr="00455541">
        <w:rPr>
          <w:noProof/>
        </w:rPr>
        <w:lastRenderedPageBreak/>
        <w:drawing>
          <wp:inline distT="0" distB="0" distL="0" distR="0" wp14:anchorId="40DF74AF" wp14:editId="597AFFEA">
            <wp:extent cx="5760720" cy="941612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9416129"/>
                    </a:xfrm>
                    <a:prstGeom prst="rect">
                      <a:avLst/>
                    </a:prstGeom>
                  </pic:spPr>
                </pic:pic>
              </a:graphicData>
            </a:graphic>
          </wp:inline>
        </w:drawing>
      </w:r>
    </w:p>
    <w:p w14:paraId="523685D1" w14:textId="141C2201" w:rsidR="00792472" w:rsidRDefault="00792472" w:rsidP="001A05F2">
      <w:pPr>
        <w:jc w:val="both"/>
      </w:pPr>
      <w:r>
        <w:lastRenderedPageBreak/>
        <w:t>Financijska sredstva potrebna za djelovanje postrojbe, te materijalne rashode, kapitalne investicije, nabavku opreme i vozila, te investicijsko održavanje i u slijedećem proračunskom razdoblju za provođenje programa Organiziranje i provođenje zaštite i spašavanja osigurala su se iz:</w:t>
      </w:r>
    </w:p>
    <w:p w14:paraId="10B890D9" w14:textId="31504289" w:rsidR="00792472" w:rsidRDefault="00792472" w:rsidP="001A05F2">
      <w:pPr>
        <w:pStyle w:val="ListParagraph"/>
        <w:numPr>
          <w:ilvl w:val="0"/>
          <w:numId w:val="8"/>
        </w:numPr>
        <w:ind w:left="284" w:hanging="284"/>
        <w:jc w:val="both"/>
      </w:pPr>
      <w:r>
        <w:t>Državnog proračuna na temelju Odluke o minimalnim financijskim standardima, kriterijima i mjerilima za financiranje rashoda Javnih vatrogasnih postrojbi Vlade RH.</w:t>
      </w:r>
    </w:p>
    <w:p w14:paraId="13999A38" w14:textId="3E6DCF6A" w:rsidR="00792472" w:rsidRDefault="00792472" w:rsidP="001A05F2">
      <w:pPr>
        <w:pStyle w:val="ListParagraph"/>
        <w:numPr>
          <w:ilvl w:val="0"/>
          <w:numId w:val="8"/>
        </w:numPr>
        <w:ind w:left="284" w:hanging="284"/>
        <w:jc w:val="both"/>
      </w:pPr>
      <w:r>
        <w:t>Proračuna Osnivača i ostalih JLS otoka krka, preko proračuna Osnivača.</w:t>
      </w:r>
    </w:p>
    <w:p w14:paraId="06BE1177" w14:textId="6503BD87" w:rsidR="00792472" w:rsidRDefault="00792472" w:rsidP="001A05F2">
      <w:pPr>
        <w:pStyle w:val="ListParagraph"/>
        <w:numPr>
          <w:ilvl w:val="0"/>
          <w:numId w:val="8"/>
        </w:numPr>
        <w:ind w:left="284" w:hanging="284"/>
        <w:jc w:val="both"/>
      </w:pPr>
      <w:r>
        <w:t>Proračuna PVZ otoka Krka temeljem Sporazuma o financiranju vatrogastva na otoku Krku svih JLS.</w:t>
      </w:r>
    </w:p>
    <w:p w14:paraId="44B0C1C5" w14:textId="607C6CFA" w:rsidR="00792472" w:rsidRDefault="00792472" w:rsidP="001A05F2">
      <w:pPr>
        <w:pStyle w:val="ListParagraph"/>
        <w:numPr>
          <w:ilvl w:val="0"/>
          <w:numId w:val="8"/>
        </w:numPr>
        <w:ind w:left="284" w:hanging="284"/>
        <w:jc w:val="both"/>
      </w:pPr>
      <w:r>
        <w:t>Proračuna VZ PGŽ – djelomično se financira zapošljavanje sezonskih vatrogasaca (sredstva iz Programa aktivnosti u provedbi posebnih mjera zaštite od požara od interesa za RH).</w:t>
      </w:r>
    </w:p>
    <w:p w14:paraId="4C067D9B" w14:textId="77777777" w:rsidR="00792472" w:rsidRDefault="00792472" w:rsidP="001A05F2">
      <w:pPr>
        <w:jc w:val="both"/>
      </w:pPr>
      <w:r>
        <w:t>Dakle, sredstva za materijalne rashode i rashode za zaposlene osiguravaju se u državnom proračunu, te u proračunima JLS otoka Krka i PVZ otoka Krka.</w:t>
      </w:r>
    </w:p>
    <w:p w14:paraId="300D7163" w14:textId="77777777" w:rsidR="00792472" w:rsidRDefault="00792472" w:rsidP="001A05F2">
      <w:pPr>
        <w:jc w:val="both"/>
      </w:pPr>
      <w:r>
        <w:t>Financijskim planom za 2023. godinu rashodi JVP Grada Krka raspoređeni su na rashode za zaposlene, u visini prava prema Kolektivnom ugovoru za radnike u Javnoj vatrogasnoj postrojbi Grada Krk koji je na snazi od 31.12.2018. godine i Zakona o vatrogastvu (NN 125/19., 114/22. i ) (otpremnine), materijalne rashode tekućeg poslovanja, upotpunjeni potrebama investicijskog održavanja objekta, opreme i prijevoznih sredstava, te daljnjeg razvoja  tehničko – tehnološke opremljenosti.</w:t>
      </w:r>
    </w:p>
    <w:p w14:paraId="0EC3A0C9" w14:textId="77777777" w:rsidR="00792472" w:rsidRPr="001A05F2" w:rsidRDefault="00792472" w:rsidP="00792472">
      <w:pPr>
        <w:rPr>
          <w:b/>
          <w:bCs/>
        </w:rPr>
      </w:pPr>
      <w:r w:rsidRPr="001A05F2">
        <w:rPr>
          <w:b/>
          <w:bCs/>
        </w:rPr>
        <w:t>Aktivnost – A500101: Javna vatrogasna postrojba – redovna djelatnost.</w:t>
      </w:r>
    </w:p>
    <w:p w14:paraId="01FBECE1" w14:textId="1F39C34F" w:rsidR="00792472" w:rsidRDefault="00792472" w:rsidP="001A05F2">
      <w:pPr>
        <w:jc w:val="both"/>
      </w:pPr>
      <w:r>
        <w:t>Odnosi se na osiguranje dijela sredstava koji su raspoređeni na rashode za zaposlene (plaće, doprinose, otpremnine i ostale rashode za zaposlene) u visini prava prema važećem Kolektivnom ugovoru za radnike u JVP Grada Krka, te Zakona o vatrogastvu. Navedena sredstva odnosne se na financiranje vatrogastva iznad minimalnog državnog standarda, a osiguravaju se iz proračuna Grada Krka, te dijelom od PVZ otoka Krka kako je definirano Sporazumom o financiranju vatrogastva na otoku Krku kojeg su potpisali Grad Krk i Općine Baška, Dobrinj, Malinska-Dubašnica, Omišalj, Punat i Vrbnik, te PVZ otoka Krka i JVP Grada Krka dana 26.11.2012.g. uređen je način osiguranja i udruživanja sredstava u PVZ otoka Krka u cilju financiranje redovne djelatnosti, djelovanja i razvoja vatrogasnih postrojbi. Potpisnici Sporazuma dužni su sredstva osigurati iz vlastitih proračuna, a najmanje u visini i prema mjerilima utvrđenim člankom 111. Zakona o vatrogastvu (NN 125/19., 114/22. i 155/23.). Sporazumom je određen način raspodjele  uplaćenih sredstava i to na način da se kod potpisnica koje na svojem području imaju ustrojenu postrojbu DVD-a uplaćena sredstva raspoređuju na način da se 33% uplaćuje na račun DVD-a, 57% se uplaćuje JVP Grada Krka, dok se preostalih 10% zadržava na računu PVZ-a i koristi za  zajedničke aktivnosti, potrebe i projekte u skladu sa godišnjim financijskim planom kojeg predlaže Upravni odbor, a usvaja Skupština PVZ otoka Krka. Prema nalazu inspekcijskog nadzora propisana je potreba osnivanja i dobrovoljnih vatrogasnih društava na područjima koja ih do sada nisu imala (Općina Malinska-Dubašnica i Općina Punat). Zbog racionalizacije troškova dogovoreno je da se u sklopu DVD-a Krk osnuju dva odjeljenja: Odjeljenje Malinska-Dubašnica i Odjeljenje Punat. Zbog osnivanja novih odjeljenja mijenjan je i ključ raspodjele  uplaćenih sredstava od strane Općine Malinska-Dubašnica i Općine Punat. Po novom ključu raspodjele temeljem odluke donesene na Skupštini PVZ otoka Krka 03.05.2016. godine, 80% uplaćenih sredstava transferira se JVP Grada Krka,  10 % uplaćuje na pod račun svakog pojedinog novog odjeljenja, dok 10%  ostaje PVZ-u za sufinanciranje zajedničkih projekata. U 2019 g. na području Općine Malinska-Dubašnica osniva se samostalni DVD Malinska-Dubašnica čiji je prijedlog za udruživanjem jednoglasno usvojen na sjednici Upravnog odbora održanoj dana 06.03.2019.g. Osnivanjem novog DVD-a pripadaju mu ista prava kao i za druge potpisnice koje na svojem području imaju ustrojenu postrojbu DVD-a.</w:t>
      </w:r>
    </w:p>
    <w:p w14:paraId="38BB2D82" w14:textId="06066EF7" w:rsidR="00792472" w:rsidRDefault="00792472" w:rsidP="001A05F2">
      <w:pPr>
        <w:jc w:val="both"/>
      </w:pPr>
      <w:r>
        <w:t xml:space="preserve">Temeljem spomenutog Sporazuma JVP Grada Krka dio koji im pripada prema ključu raspodjele dijeli se na dio za sufinanciranje rashoda za zaposlene koji je definiran Aneksom ugovora o financiranju JVP </w:t>
      </w:r>
      <w:r>
        <w:lastRenderedPageBreak/>
        <w:t>Grada Krka za 2023.g. (u 2023.g. su potpisana tri Aneksa), te dio na financiranje redovne djelatnosti. Dio koji se izdvaja za sufinanciranje rashoda za zaposlene uplaćuje se na račun Grada Krka, da bi onda oni ta dobivena sredstva transferirali JVP Grada Krka.</w:t>
      </w:r>
    </w:p>
    <w:p w14:paraId="7FCDAFCA" w14:textId="3FDBB539" w:rsidR="00792472" w:rsidRDefault="00792472" w:rsidP="001A05F2">
      <w:pPr>
        <w:jc w:val="both"/>
      </w:pPr>
      <w:r>
        <w:t>Ova aktivnost planirana je u ukupnom iznosu od 199.994,00 eura, a ostvarena je u iznosu  od  214.845,40 eura. Do odstupanja u ostvarenju u odnosu na temeljni plan došlo je iz dva razloga. Prvi je što  u  II</w:t>
      </w:r>
      <w:r w:rsidR="001A05F2">
        <w:t>.</w:t>
      </w:r>
      <w:r>
        <w:t xml:space="preserve"> izmjenu Financijskog plana za 2023.g. nije uključen iznos od 13.000 eura kojim je u III. Aneksu Ugovora o financiranju JVP Grada Krka definirano da Grad Krk samostalno financira zapošljavanje računovodstveno-administrativne djelatnice. Dok je drugi razlog što je Grad Krk  uplatio JVP Grada Krka 6.091,20 eura koja je trebala uplatiti Općina Punat. Kako Općina Punat nije mogla potpisati III. Aneks ugovora o financiranju iz razloga što Općinsko vijeće Općine Punat nije prihvatilo  Prijedlog I. Izmjene i dopune Proračuna za 2023.g. s Projekcijama za 2024. i 2025.  razliku sredstava uplatio nam je naš osnivač Grad Krk. Općina Punat se obavezala da će dug iz 2023.g. uplatiti Gradu Krku u 2024. godini. </w:t>
      </w:r>
    </w:p>
    <w:p w14:paraId="10DDC7E1" w14:textId="77777777" w:rsidR="00792472" w:rsidRDefault="00792472" w:rsidP="001A05F2">
      <w:pPr>
        <w:jc w:val="both"/>
      </w:pPr>
      <w:bookmarkStart w:id="8" w:name="_Hlk161907485"/>
      <w:r>
        <w:t xml:space="preserve">Unutar ove aktivnosti prihodi iz proračuna Grada Krka za sufinanciranje rashoda poslovanja ostvareni su u  ukupnom iznosu od 91.985,20 €. Kako je spomenuto kod pomoći iz nenadležnog proračuna i na ovoj poziciji je došlo do povećanja planiranih sredstava vezano uz obvezu primjene Pravilnika o klasifikaciji radnih mjesta profesionalnih vatrogasaca, mjerilima za njihovo utvrđivanje i koeficijentima složenosti poslova (NN 46/23).  Sa našim osnivačem Gradom Krkom potpisan je novi Kolektivni ugovor koji je stupio na snagu i primjenjuje se od 01.08.2023. Primjenom nove osnovice  (propisana je primjena osnovice državnih službenika i namještenika) i novih koeficijenata povećali su se rashodi za zaposlene, te je iz tog razloga sa osnivačem i svim jedinicama lokalne samouprave otoka Krka sklopljen III. Aneks ugovora o financiranju JVP Grada  Krka za 2023. godinu kako bi se osigurala razlika sredstava koja je potrebna za primjenu odredbi novog pravilnika. Potpisom III. Aneksa za 2023. g. sve JLS-u otoka Krka pristale su na povećanje svojih izdavanja s ciljem održavanja sposobnosti JVP Grada Krka u podmirivanju obveza prema zaposlenima bez narušavanja sredstava za materijalne izdatke, odnosno nastavka provedbe programa nabavke nove osobne i skupne zaštitne opreme te održavanje vozila, uređaja i opreme nužne za naš rad tj. obavljanje naše djelatnosti. Kako Općina Punat nije mogla potpisati III. Aneks ugovora o financiranju razliku sredstava u iznosu od 6.091,20 € uplatio nam je naš osnivač Grad Krk. Grad Krk je također u 2023.g. sufinancirao u iznosu od 8.100,00 € nabavku  promotivnog materijala (set u kojem je vatrogasni aparat i deka za gašenje požara) koji se dana 10.12.2023. podijelio građanima radi podizanja svjesnosti o zaštiti od požara. </w:t>
      </w:r>
    </w:p>
    <w:bookmarkEnd w:id="8"/>
    <w:p w14:paraId="537E1B07" w14:textId="545D8B55" w:rsidR="00792472" w:rsidRDefault="00792472" w:rsidP="001A05F2">
      <w:pPr>
        <w:jc w:val="both"/>
      </w:pPr>
      <w:r>
        <w:t>Prihodi od PVZ-a za sufinanciranje rashoda za zaposlene ostvareni u iznosu od 114.760,20 € što predstavlja povećanje u odnosu na prošlu godinu kada su ostvareni u iznosu od 99.452,72 €. Ovo</w:t>
      </w:r>
      <w:r w:rsidR="001A05F2">
        <w:t xml:space="preserve"> </w:t>
      </w:r>
      <w:r>
        <w:t>povećanje je vezano uz ranije objašnjeno povećanje rashoda za zaposlene. Prilikom obračuna plaće za 12 mjesec kada je utvrđen ukupan iznos potrebnih sredstava izvršena je 29.12.2023.g. (posljednjeg radnog dana u godini) uplata sredstava na račun Grada Krka u iznosu od 22.954,34 eura. Početkom 2024.g. utvrđeno je da je Grad Krk prema JVP Grada Krka sukladno odredbama III. Aneksa ugovora o financiranju JVP Grada Krka za 2023.g. trebao uplatiti 13.000 eura za sufinanciranje zapošljavanja administrativne radnice. Na taj je način utvrđeno da su od PVZ-a transferirana sredstva u iznosu od 13.113,95 eura za sufinanciranje rashoda za zaposlene, a zapravo su trebala biti  direktno uplaćena JVP Grada Krka za financiranje redovne djelatnosti (Aktivnost: A500104: Javna vatrogasna postrojba – redovna djelatnost financirana iz vlastitih sredstva i donacija). Nastala pogreška ispravljena je na način da je Grad Krk knjižio obvezu za povrat PVZ-u, dok je istovremeno u PVZ-u knjiženo potraživanje u spomenutom iznosu. Kada Grad Krk uplati PVZ otoka Krka  spomenuta sredstva ista će se uplatiti JVP kao dug iz 2023.g. za financiranje redovne djelatnosti.</w:t>
      </w:r>
    </w:p>
    <w:p w14:paraId="40B24910" w14:textId="77777777" w:rsidR="001A05F2" w:rsidRDefault="001A05F2" w:rsidP="00792472">
      <w:pPr>
        <w:rPr>
          <w:b/>
          <w:bCs/>
        </w:rPr>
      </w:pPr>
    </w:p>
    <w:p w14:paraId="4F3ADFDF" w14:textId="23B70E74" w:rsidR="00792472" w:rsidRPr="001A05F2" w:rsidRDefault="00792472" w:rsidP="001A05F2">
      <w:pPr>
        <w:jc w:val="both"/>
        <w:rPr>
          <w:b/>
          <w:bCs/>
        </w:rPr>
      </w:pPr>
      <w:r w:rsidRPr="001A05F2">
        <w:rPr>
          <w:b/>
          <w:bCs/>
        </w:rPr>
        <w:lastRenderedPageBreak/>
        <w:t>Aktivnost – A500102: Javna vatrogasna postrojba – redovna djelatnost – otočke općine.</w:t>
      </w:r>
    </w:p>
    <w:p w14:paraId="20AB57BD" w14:textId="77777777" w:rsidR="00792472" w:rsidRDefault="00792472" w:rsidP="001A05F2">
      <w:pPr>
        <w:jc w:val="both"/>
      </w:pPr>
      <w:r>
        <w:t>Odnosi se također na osiguranje dijela sredstava koji su raspoređeni na rashode za zaposlene (plaće i doprinose), ali bez sredstava za ostale rashode za zaposlene koji se osiguravaju u proračunima Općina Baška, Dobrinj, Vrbnik, Omišalj, Punat i Malinska – Dubašnica. Navedena sredstva odnosne se na financiranje vatrogastva iznad minimalnog državnog standarda.</w:t>
      </w:r>
    </w:p>
    <w:p w14:paraId="75885DD7" w14:textId="0C8BAD55" w:rsidR="00792472" w:rsidRDefault="00792472" w:rsidP="000523DC">
      <w:pPr>
        <w:jc w:val="both"/>
      </w:pPr>
      <w:r>
        <w:t>U razdoblju od 01.01.-31.12.2023. ova aktivnost ostvarena je u iznosu od  181.335,80 eura,  dok je planirana u iznosu od 187.427,00 eura. Razlog manjeg ostvarenja u iznosu od 6.091,20 eura vezan je uz ranije objašnjenu problematiku Općine Punat.</w:t>
      </w:r>
    </w:p>
    <w:p w14:paraId="0B8507E8" w14:textId="77777777" w:rsidR="00792472" w:rsidRPr="000523DC" w:rsidRDefault="00792472" w:rsidP="00792472">
      <w:pPr>
        <w:rPr>
          <w:b/>
          <w:bCs/>
        </w:rPr>
      </w:pPr>
      <w:r w:rsidRPr="000523DC">
        <w:rPr>
          <w:b/>
          <w:bCs/>
        </w:rPr>
        <w:t xml:space="preserve">Aktivnost – A500103: Javna vatrogasna postrojba – redovna djelatnost iz decentraliziranih funkcija. </w:t>
      </w:r>
    </w:p>
    <w:p w14:paraId="098CFA12" w14:textId="77777777" w:rsidR="00792472" w:rsidRDefault="00792472" w:rsidP="000523DC">
      <w:pPr>
        <w:jc w:val="both"/>
      </w:pPr>
      <w:r>
        <w:t>Odnosi se na sredstva za decentralizirane funkcije vatrogastva kojima se namiruju u najvećem dijelu rashodi za zaposlene (plaće i  doprinosi na plaće) i materijalni rashodi (naknade troškova zaposlenima, rashodi za materijal i energiju, rashodi za usluge, ostali nespomenuti rashodi). Navedena sredstva ostvaruju se temeljem Odluke Vlade RH o minimalnim financijskim standardima, kriterijima i mjerilima za financiranje rashoda Javnih vatrogasnih postrojbi za tekuću godinu.</w:t>
      </w:r>
    </w:p>
    <w:p w14:paraId="00622D28" w14:textId="77777777" w:rsidR="00792472" w:rsidRDefault="00792472" w:rsidP="000523DC">
      <w:pPr>
        <w:jc w:val="both"/>
      </w:pPr>
      <w:r>
        <w:t xml:space="preserve">Odlukom se utvrđuju minimalni financijski rashodi za decentralizirano financiranje rashoda za zaposlene, te materijalne i financijske rashode, preko proračuna osnivača (Grada Krk), odnosno dodatnog udjela u porezu na dohodak po stopi od 1,00 %. Ukoliko se iz dodatnog udjela u porezu na dohodak ne osiguravaju potrebna sredstva za financiranje rashoda decentraliziranih funkcija vatrogastva, razlika sredstava ostvaruje se s pozicije izravnavanja za decentralizirane funkcije iz Državnog proračuna RH za tekuću godinu. </w:t>
      </w:r>
    </w:p>
    <w:p w14:paraId="0F6781E0" w14:textId="658560BB" w:rsidR="00792472" w:rsidRDefault="00792472" w:rsidP="000523DC">
      <w:pPr>
        <w:jc w:val="both"/>
      </w:pPr>
      <w:r>
        <w:t>Ova aktivnost  planirana je i ostvarena  u iznosu od 386.374,52 eura.  Najveći dio sredstava utrošen je na rashode za zaposlene u iznosu od 345.977 eura, dok je za materijalne rashode utrošeno 40.397,52 eura. Grad Krk je na račun JVP Grada Krka do kraja tekuće godine uplatio ukupan planirani  iznos za financiranje decentraliziranih funkcija vatrogastva. Kako oni do kraja 2023. godine nisu dobili ukupna planirana sredstava pomoći izravnanja za decentralizirane funkcije poslali su nam uputu da izvršimo storniranje prihoda na 671 i knjižimo obvezu za povrat u iznosu od 2.047,61 €, dok su rashodi knjiženi u ukupnom iznosu čime je ostvaren metodološki manjak. Početkom  2024. godine nakon što smo od Grada Krka dobili obavijest da su im uplaćena sredstva za decentralizirane funkcije (15.01.2024.g.) koja se odnose na 2023.g. u iznosu od 2.047,61 €  knjižili  smo zatvaranje obveze za povrat u nadležni proračun uz istovremeno knjiženje prihoda iz nadležnog proračuna. Kod izrade I. izmjene  financijskog plana dodati ćemo poziciju metodološkog manjka, kojeg smo prošle godine imali zbog manje uplate. Metodološki manjak namiren je iz ostvarenog viška tekuće godine.</w:t>
      </w:r>
    </w:p>
    <w:p w14:paraId="10EE14AB" w14:textId="77777777" w:rsidR="00792472" w:rsidRPr="000523DC" w:rsidRDefault="00792472" w:rsidP="000523DC">
      <w:pPr>
        <w:jc w:val="both"/>
        <w:rPr>
          <w:b/>
          <w:bCs/>
        </w:rPr>
      </w:pPr>
      <w:r w:rsidRPr="000523DC">
        <w:rPr>
          <w:b/>
          <w:bCs/>
        </w:rPr>
        <w:t>Aktivnost – A500104: Javna vatrogasna postrojba – redovna djelatnost financirana iz vlastitih sredstva i donacija.</w:t>
      </w:r>
    </w:p>
    <w:p w14:paraId="189B90A2" w14:textId="77777777" w:rsidR="00792472" w:rsidRDefault="00792472" w:rsidP="000523DC">
      <w:pPr>
        <w:jc w:val="both"/>
      </w:pPr>
      <w:r>
        <w:t xml:space="preserve">Odnosi se na osiguranje sredstava za djelomično financiranje rashoda (plaće i doprinosi) za zapošljavanje 4 sezonska vatrogasca (sredstva iz Programa aktivnosti u provedbi posebnih mjera zaštite od požara od interesa za RH, s državnog nivoa raspoređuju se po vatrogasnim zajednicama županija, u ovom slučaju iz proračuna VZ PGŽ), naknade troškova za zaposlene, rashode za materijal i energiju, za nabavku sredstava za gašenje požara, za nabavku službene, radne i zaštitne odjeće i obuće, na rashode za usluge, uključujući i usluge tekućeg i investicijskog održavanja, te financijske i ostale nespomenute rashode poslovanja. </w:t>
      </w:r>
    </w:p>
    <w:p w14:paraId="23084649" w14:textId="77777777" w:rsidR="00792472" w:rsidRDefault="00792472" w:rsidP="000523DC">
      <w:pPr>
        <w:jc w:val="both"/>
      </w:pPr>
      <w:r>
        <w:t xml:space="preserve">Navedena sredstva odnose se i na stalno usavršavanje operativnog kadra JVP Grada Krka, kako prema godišnjem Planu rada unutar same JVP, tako i izvan uz pohađanje tečajeva i stručnih ispita za određene </w:t>
      </w:r>
      <w:r>
        <w:lastRenderedPageBreak/>
        <w:t>vatrogasne specijalnosti, odlaske na stručne seminare, savjetovanja i simpozije, koji se održavaju u zemlji i vani, te razna osposobljavanja.</w:t>
      </w:r>
    </w:p>
    <w:p w14:paraId="0F7D112D" w14:textId="77777777" w:rsidR="00792472" w:rsidRDefault="00792472" w:rsidP="000523DC">
      <w:pPr>
        <w:jc w:val="both"/>
      </w:pPr>
      <w:r>
        <w:t>JVP kao nositelj vatrogastva pri PVZ otoka Krka, permanentno radi na poboljšanju organizacije vatrogastva na cjelokupnom području potoka Krka koji definira da je otok Krk u zaštiti od požara jedinstvena cjelina neovisno o granicama JLS, što se u ovih proteklih 23 godine više puta dokazalo.</w:t>
      </w:r>
    </w:p>
    <w:p w14:paraId="008B644C" w14:textId="48DCD161" w:rsidR="00792472" w:rsidRDefault="00792472" w:rsidP="00792472">
      <w:r>
        <w:t>Stalnim usavršavanjem kadrova smanjuje se vrijeme intervencije, a time i štete prouzročene požarom ili nekom drugom ugrozom. Pored navedenog, podiže se svijest o važnosti preventivnih mjera zaštite od požara kod ustanova i tvrtki te njihovih djelatnika i korisnika.</w:t>
      </w:r>
    </w:p>
    <w:p w14:paraId="7E935B59" w14:textId="77777777" w:rsidR="00792472" w:rsidRPr="000523DC" w:rsidRDefault="00792472" w:rsidP="00792472">
      <w:pPr>
        <w:rPr>
          <w:b/>
          <w:bCs/>
        </w:rPr>
      </w:pPr>
      <w:r w:rsidRPr="000523DC">
        <w:rPr>
          <w:b/>
          <w:bCs/>
        </w:rPr>
        <w:t>Pod aktivnost: Povećanje svijesti o preventivnim mjerama zaštite od požara</w:t>
      </w:r>
    </w:p>
    <w:p w14:paraId="762457D2" w14:textId="73A09F73" w:rsidR="00792472" w:rsidRDefault="00792472" w:rsidP="000523DC">
      <w:pPr>
        <w:jc w:val="both"/>
      </w:pPr>
      <w:r>
        <w:t>Cilj je radionicama i edukacijama u svim razinama stanovništva, s naglaskom na stariju populaciju i djecu predškolskog, osnovnoškolskog uzrasta, te mladeži srednje škole povećati svijest o preventivnim mjerama zaštite od požara, a samim time, u konačnosti smanjiti broj potrebnih intervencija JVP Grada Krka, odnosno žrtava i štete koje nastaju od požara. Isto se provodi</w:t>
      </w:r>
      <w:r w:rsidR="000523DC">
        <w:t>lo</w:t>
      </w:r>
      <w:r>
        <w:t xml:space="preserve"> organiziranim posjetama djelatnika JVP Grada Krka domovima za starije i nemoćne, školama i vrtićima, odnosno posjetama djece školske i vrtićke dobi JVP Grada Krka.</w:t>
      </w:r>
    </w:p>
    <w:p w14:paraId="6B4A0DA5" w14:textId="1F08106A" w:rsidR="00792472" w:rsidRDefault="00792472" w:rsidP="000523DC">
      <w:pPr>
        <w:jc w:val="both"/>
      </w:pPr>
      <w:r>
        <w:t>Također</w:t>
      </w:r>
      <w:r w:rsidR="000523DC">
        <w:t xml:space="preserve">, </w:t>
      </w:r>
      <w:r>
        <w:t>izvrš</w:t>
      </w:r>
      <w:r w:rsidR="000523DC">
        <w:t>ena su</w:t>
      </w:r>
      <w:r>
        <w:t xml:space="preserve"> osposobljavanj</w:t>
      </w:r>
      <w:r w:rsidR="000523DC">
        <w:t>a</w:t>
      </w:r>
      <w:r>
        <w:t xml:space="preserve"> pučanstva za zaštitu od požara </w:t>
      </w:r>
      <w:r w:rsidR="000523DC">
        <w:t>sukladno</w:t>
      </w:r>
      <w:r>
        <w:t xml:space="preserve"> zahtjevima poslodavaca</w:t>
      </w:r>
      <w:r w:rsidR="000523DC">
        <w:t xml:space="preserve"> </w:t>
      </w:r>
      <w:r>
        <w:t xml:space="preserve">temeljem Pravilnika o programu i načinu osposobljavanja pučanstva za provedbu preventivnih mjera zaštite od požara i spašavanja ljudi i imovine ugrožene požarom. </w:t>
      </w:r>
    </w:p>
    <w:p w14:paraId="12FA649C" w14:textId="77777777" w:rsidR="00792472" w:rsidRDefault="00792472" w:rsidP="000523DC">
      <w:pPr>
        <w:jc w:val="both"/>
      </w:pPr>
      <w:r>
        <w:t>Slijedeći, ali ne manje važan cilj je permanentna obuka i podizanje operativne sposobnosti vatrogasaca JVP Grada Krka kroz obuke, osposobljavanja, tečajeve i seminare, te vježbe definirane Planom obuke u 2023. godini kako bi se na učinkovit i nadasve stručan način mogli pripremiti za sve moguće potrebe koje iziskuje vatrogasna djelatnost.</w:t>
      </w:r>
    </w:p>
    <w:p w14:paraId="2AF27D47" w14:textId="3DF1CF52" w:rsidR="00792472" w:rsidRDefault="00792472" w:rsidP="000523DC">
      <w:pPr>
        <w:jc w:val="both"/>
      </w:pPr>
      <w:r>
        <w:t xml:space="preserve">Ova aktivnost planirana je u ukupnom iznosu od </w:t>
      </w:r>
      <w:r w:rsidR="00482279">
        <w:t xml:space="preserve">111.783,35 </w:t>
      </w:r>
      <w:r>
        <w:t xml:space="preserve">eura, a ostvarena je u iznosu od </w:t>
      </w:r>
      <w:r w:rsidR="00482279">
        <w:t>65.684,84</w:t>
      </w:r>
      <w:r>
        <w:t xml:space="preserve"> eura što čini </w:t>
      </w:r>
      <w:r w:rsidR="00482279">
        <w:t>59</w:t>
      </w:r>
      <w:r>
        <w:t xml:space="preserve"> % u odnosu na plan. Manja realizacija vezana je uz ranije objašnjenje uz aktivnost A500101, a vezano je uz uplatu sredstava za plaću djelatnika, umjesto za redovnu  djelatnost. </w:t>
      </w:r>
    </w:p>
    <w:p w14:paraId="33BCE702" w14:textId="39A22553" w:rsidR="00792472" w:rsidRDefault="00792472" w:rsidP="00792472">
      <w:r>
        <w:t>U mjesecu lipnju 2023. godine, zaposlena su 2 sezonska vatrogasca</w:t>
      </w:r>
      <w:r w:rsidR="000523DC">
        <w:t xml:space="preserve">, a </w:t>
      </w:r>
      <w:r>
        <w:t xml:space="preserve">2 </w:t>
      </w:r>
      <w:r w:rsidR="000523DC">
        <w:t xml:space="preserve">su zaposlena </w:t>
      </w:r>
      <w:r>
        <w:t xml:space="preserve">u toku mjeseca srpnja </w:t>
      </w:r>
      <w:r w:rsidR="000523DC">
        <w:t xml:space="preserve">po </w:t>
      </w:r>
      <w:r>
        <w:t>završe</w:t>
      </w:r>
      <w:r w:rsidR="000523DC">
        <w:t>tku</w:t>
      </w:r>
      <w:r>
        <w:t xml:space="preserve"> školovanj</w:t>
      </w:r>
      <w:r w:rsidR="000523DC">
        <w:t>a.</w:t>
      </w:r>
    </w:p>
    <w:p w14:paraId="70F705E0" w14:textId="6D555E1A" w:rsidR="00792472" w:rsidRDefault="00792472" w:rsidP="00792472">
      <w:r w:rsidRPr="00287F15">
        <w:t xml:space="preserve">Nadalje, u </w:t>
      </w:r>
      <w:r w:rsidR="000523DC" w:rsidRPr="00287F15">
        <w:t>2023.</w:t>
      </w:r>
      <w:r w:rsidRPr="00287F15">
        <w:t xml:space="preserve"> godin</w:t>
      </w:r>
      <w:r w:rsidR="000523DC" w:rsidRPr="00287F15">
        <w:t>i</w:t>
      </w:r>
      <w:r w:rsidRPr="00287F15">
        <w:t xml:space="preserve"> odrađene su slijedeće aktivnosti:</w:t>
      </w:r>
    </w:p>
    <w:p w14:paraId="18430722" w14:textId="77777777" w:rsidR="000523DC" w:rsidRDefault="00792472" w:rsidP="000523DC">
      <w:pPr>
        <w:pStyle w:val="ListParagraph"/>
        <w:numPr>
          <w:ilvl w:val="0"/>
          <w:numId w:val="9"/>
        </w:numPr>
        <w:jc w:val="both"/>
      </w:pPr>
      <w:r>
        <w:t>provođenje preventivnih mjera ZOP-a temeljem zahtjeva tijela JLS-a, pravnih i fizičkih osoba,</w:t>
      </w:r>
    </w:p>
    <w:p w14:paraId="22684803" w14:textId="77777777" w:rsidR="00B23632" w:rsidRDefault="00792472" w:rsidP="00792472">
      <w:pPr>
        <w:pStyle w:val="ListParagraph"/>
        <w:numPr>
          <w:ilvl w:val="0"/>
          <w:numId w:val="9"/>
        </w:numPr>
        <w:jc w:val="both"/>
      </w:pPr>
      <w:r>
        <w:t>u suradnji sa VZ PGŽ organizirano i provedeno osposobljavanje za Spašavanje sa visina i iz dubina, 1. stupanj, za članice PVZ otoka Krka (2 djelatnika JVP Grada Krka, 2 člana DVD Krk, te 1 član DVD Malinska – Dubašnica) i Spašavanje iz ruševina (2 djelatnika JVP Grada Krka, 1 član DVD Krk i 2 člana DVD Malinska – Dubašnica),</w:t>
      </w:r>
    </w:p>
    <w:p w14:paraId="2AB9D276" w14:textId="77777777" w:rsidR="00B23632" w:rsidRDefault="00792472" w:rsidP="00792472">
      <w:pPr>
        <w:pStyle w:val="ListParagraph"/>
        <w:numPr>
          <w:ilvl w:val="0"/>
          <w:numId w:val="9"/>
        </w:numPr>
        <w:jc w:val="both"/>
      </w:pPr>
      <w:r>
        <w:t xml:space="preserve">odradili osposobljavanje za zaštitu od požara za djelatnike Ponikve Voda, Ponikve Eko i Ponikve Usluga, O.Š. Malinska – Dubašnica i Općina Omišalj (osposobljeno je ukupno </w:t>
      </w:r>
      <w:r w:rsidR="00B23632">
        <w:t>67</w:t>
      </w:r>
      <w:r>
        <w:t xml:space="preserve"> osob</w:t>
      </w:r>
      <w:r w:rsidR="00B23632">
        <w:t>a</w:t>
      </w:r>
      <w:r>
        <w:t>),</w:t>
      </w:r>
    </w:p>
    <w:p w14:paraId="35B208B5" w14:textId="77777777" w:rsidR="00B23632" w:rsidRDefault="00792472" w:rsidP="00792472">
      <w:pPr>
        <w:pStyle w:val="ListParagraph"/>
        <w:numPr>
          <w:ilvl w:val="0"/>
          <w:numId w:val="9"/>
        </w:numPr>
        <w:jc w:val="both"/>
      </w:pPr>
      <w:r>
        <w:t xml:space="preserve">u suradnji sa PVZ otoka Krka izradili Operativni plan djelovanja na požarima otvorenog prostora za područje nadležnosti PVZ otoka Krka za 2023. godinu, </w:t>
      </w:r>
    </w:p>
    <w:p w14:paraId="0CF12DFD" w14:textId="77777777" w:rsidR="00B23632" w:rsidRDefault="00792472" w:rsidP="00792472">
      <w:pPr>
        <w:pStyle w:val="ListParagraph"/>
        <w:numPr>
          <w:ilvl w:val="0"/>
          <w:numId w:val="9"/>
        </w:numPr>
        <w:jc w:val="both"/>
      </w:pPr>
      <w:r>
        <w:t>pomogli JLS otoka Krka pri izradi dokumenata iz područja ZOP-a,</w:t>
      </w:r>
    </w:p>
    <w:p w14:paraId="759CA58B" w14:textId="77777777" w:rsidR="00B23632" w:rsidRDefault="00792472" w:rsidP="00792472">
      <w:pPr>
        <w:pStyle w:val="ListParagraph"/>
        <w:numPr>
          <w:ilvl w:val="0"/>
          <w:numId w:val="9"/>
        </w:numPr>
        <w:jc w:val="both"/>
      </w:pPr>
      <w:r>
        <w:t>provodili stručnu nastavu na dnevnoj bazi, sukladno Planu nastave i vježbi za 2023. godinu</w:t>
      </w:r>
      <w:r w:rsidR="00B23632">
        <w:t>,</w:t>
      </w:r>
    </w:p>
    <w:p w14:paraId="64F9EB61" w14:textId="77777777" w:rsidR="00B23632" w:rsidRDefault="00792472" w:rsidP="00792472">
      <w:pPr>
        <w:pStyle w:val="ListParagraph"/>
        <w:numPr>
          <w:ilvl w:val="0"/>
          <w:numId w:val="9"/>
        </w:numPr>
        <w:jc w:val="both"/>
      </w:pPr>
      <w:r>
        <w:t xml:space="preserve">odradili </w:t>
      </w:r>
      <w:r w:rsidR="00B23632">
        <w:t>5</w:t>
      </w:r>
      <w:r>
        <w:t xml:space="preserve"> vježb</w:t>
      </w:r>
      <w:r w:rsidR="00B23632">
        <w:t>i</w:t>
      </w:r>
      <w:r>
        <w:t xml:space="preserve"> evakuacije i gašenja požara na objektima i prostorima, O.Š. </w:t>
      </w:r>
      <w:r w:rsidR="00B23632" w:rsidRPr="00B23632">
        <w:rPr>
          <w:sz w:val="23"/>
          <w:szCs w:val="23"/>
        </w:rPr>
        <w:t xml:space="preserve">Fran Krsto Frankopan – Matična škola </w:t>
      </w:r>
      <w:r>
        <w:t xml:space="preserve">Krk, </w:t>
      </w:r>
      <w:r w:rsidR="00B23632">
        <w:t xml:space="preserve">O.Š. </w:t>
      </w:r>
      <w:r w:rsidR="00B23632" w:rsidRPr="00B23632">
        <w:rPr>
          <w:sz w:val="23"/>
          <w:szCs w:val="23"/>
        </w:rPr>
        <w:t xml:space="preserve">Fran Krsto Frankopan – Područna škola Punat, </w:t>
      </w:r>
      <w:r>
        <w:t xml:space="preserve">O.Š. Malinska – </w:t>
      </w:r>
      <w:r>
        <w:lastRenderedPageBreak/>
        <w:t xml:space="preserve">Dubašnica, Kamp Glavotok, </w:t>
      </w:r>
      <w:r w:rsidR="00B23632">
        <w:t xml:space="preserve">Zračna luka Rijeka </w:t>
      </w:r>
      <w:r>
        <w:t>te združenu vježbu gašenja požara otvorenog prostora na razini PVZ otoka Krka u čijem izvođenju je sudjelovao i Stožer CZ Grada Krka,</w:t>
      </w:r>
    </w:p>
    <w:p w14:paraId="29B72E07" w14:textId="71DF8C3E" w:rsidR="00B23632" w:rsidRDefault="00792472" w:rsidP="00792472">
      <w:pPr>
        <w:pStyle w:val="ListParagraph"/>
        <w:numPr>
          <w:ilvl w:val="0"/>
          <w:numId w:val="9"/>
        </w:numPr>
        <w:jc w:val="both"/>
      </w:pPr>
      <w:r>
        <w:t>sudjelovali smo na 1. Croatia Holmatro Rescue Challenge. Radi se o međunarodnom natjecanju vatrogasnih postrojbi u spašavanju u prometu. Svrha natjecanja je razmjena iskustava te usvajanja novih znanja i ostvarivanje bolje suradnje sa djelatnicima zavoda za hitnu medicinu. Obzirom se radi o prvom natjecanju ovakve vrste i prvom nastupu JVP Grada Krka na istom, iznimno smo zadovoljni ostvarenim rezultatom. Plasirali smo se u zlatnu kategoriju, na osmo mjesto od ukupno 30 timova</w:t>
      </w:r>
      <w:r w:rsidR="00B23632">
        <w:t>.</w:t>
      </w:r>
    </w:p>
    <w:p w14:paraId="7639DAFA" w14:textId="77777777" w:rsidR="00B23632" w:rsidRPr="00B23632" w:rsidRDefault="00B23632" w:rsidP="00792472">
      <w:pPr>
        <w:pStyle w:val="ListParagraph"/>
        <w:numPr>
          <w:ilvl w:val="0"/>
          <w:numId w:val="9"/>
        </w:numPr>
        <w:jc w:val="both"/>
      </w:pPr>
      <w:r>
        <w:rPr>
          <w:sz w:val="23"/>
          <w:szCs w:val="23"/>
        </w:rPr>
        <w:t xml:space="preserve">10.12.2023. godine u suradnji sa Gradom Krkom, a na osnovu Programa upoznavanja stanovništva s opasnostima i mjerama zaštite od požara, uz pomoć kolega iz DVD-a Krk, odradili smo promotivno-edukacijska akciju u svrhu educiranja stanovništva o opasnostima od požara, kao i mjerama zaštite od požara. U ovoj akciji je 180 kućanstava na području Grada Krka opremljeno protupožarnim setom sačinjenim od kućnog aparata za početno gašenje požara i protupožarne deke. </w:t>
      </w:r>
    </w:p>
    <w:p w14:paraId="7C59C028" w14:textId="29BB26ED" w:rsidR="00792472" w:rsidRDefault="00B23632" w:rsidP="00792472">
      <w:pPr>
        <w:pStyle w:val="ListParagraph"/>
        <w:numPr>
          <w:ilvl w:val="0"/>
          <w:numId w:val="9"/>
        </w:numPr>
        <w:jc w:val="both"/>
      </w:pPr>
      <w:r>
        <w:rPr>
          <w:sz w:val="23"/>
          <w:szCs w:val="23"/>
        </w:rPr>
        <w:t xml:space="preserve">uskladili smo poslovanje Postrojbe sa odredbama Pravilnika o klasifikaciji radnih mjesta profesionalnih vatrogasaca, mjerilima za njihovo utvrđivanje i koeficijentima složenosti poslova (NN 46/23), te potpisivanje novog Kolektivnog ugovora za radnike u mjesecu srpnju sa primjenom od 01.08.2023. godine. </w:t>
      </w:r>
      <w:r w:rsidR="00792472">
        <w:t xml:space="preserve"> </w:t>
      </w:r>
    </w:p>
    <w:p w14:paraId="1A2DB0F3" w14:textId="77777777" w:rsidR="00792472" w:rsidRPr="00B23632" w:rsidRDefault="00792472" w:rsidP="00792472">
      <w:pPr>
        <w:rPr>
          <w:b/>
          <w:bCs/>
        </w:rPr>
      </w:pPr>
      <w:r w:rsidRPr="00B23632">
        <w:rPr>
          <w:b/>
          <w:bCs/>
        </w:rPr>
        <w:t>Aktivnost – A500111: Javna vatrogasna postrojba – dislokacija – pomoći iz nenadležnog proračuna.</w:t>
      </w:r>
    </w:p>
    <w:p w14:paraId="65EA1BD6" w14:textId="77777777" w:rsidR="00792472" w:rsidRDefault="00792472" w:rsidP="00B23632">
      <w:pPr>
        <w:jc w:val="both"/>
      </w:pPr>
      <w:r>
        <w:t xml:space="preserve">Odnosi se na sredstava povrata (refundacije) za moguće  materijalne troškove (dnevne naknade angažiranosti, prekovremene sate, troškove goriva, kao i za usluge tekućeg održavanja opreme i vozila zbog eventualnih kvarova tijekom intervencija) a na osnovu zapovjedi glavnog ili županijskog vatrogasnog zapovjednika za djelovanje izvan svog područja odgovornosti. Povrat sredstava (refundacija) ostvaruje se zahtjevom prema Hrvatskoj vatrogasnoj zajednici, donosno Glavnom vatrogasnom zapovjedniku, a isplaćuju se preko proračuna Osnivača (Grada Krka). Za izvršenje navedene zadaće, a prema Planu dislokacija vatrogasnih snaga, tehnike, opreme i sredstava navedena sredstva osiguravaju se na posebnoj poziciji Državne riznice. </w:t>
      </w:r>
    </w:p>
    <w:p w14:paraId="613ADE78" w14:textId="109DC3A5" w:rsidR="00792472" w:rsidRDefault="00792472" w:rsidP="00B23632">
      <w:pPr>
        <w:jc w:val="both"/>
      </w:pPr>
      <w:r>
        <w:t>Ova aktivnost prvotno je bila planirana u iznosu od 10.618 eura, ali srećom nije realizirana, jer nije bilo dislokacija</w:t>
      </w:r>
      <w:r w:rsidR="0080050A">
        <w:t>.</w:t>
      </w:r>
    </w:p>
    <w:p w14:paraId="2A7599DB" w14:textId="77777777" w:rsidR="00792472" w:rsidRPr="00B23632" w:rsidRDefault="00792472" w:rsidP="00792472">
      <w:pPr>
        <w:rPr>
          <w:b/>
          <w:bCs/>
        </w:rPr>
      </w:pPr>
      <w:r w:rsidRPr="00B23632">
        <w:rPr>
          <w:b/>
          <w:bCs/>
        </w:rPr>
        <w:t>Aktivnost – A500115: Javna vatrogasna postrojba – vlastita djelatnost.</w:t>
      </w:r>
    </w:p>
    <w:p w14:paraId="7C9C2E7D" w14:textId="77777777" w:rsidR="00792472" w:rsidRDefault="00792472" w:rsidP="00B23632">
      <w:pPr>
        <w:jc w:val="both"/>
      </w:pPr>
      <w:r>
        <w:t xml:space="preserve">Odnosi se na rashode (plaće za prekovremeni rad, energiju i komunalne usluge), koji nastaju prilikom pružanja usluga i obavljanja poslova iz djelokruga vlastite djelatnosti. </w:t>
      </w:r>
    </w:p>
    <w:p w14:paraId="0EB059A4" w14:textId="77777777" w:rsidR="00792472" w:rsidRDefault="00792472" w:rsidP="00B23632">
      <w:pPr>
        <w:jc w:val="both"/>
      </w:pPr>
      <w:r>
        <w:t>Vlastiti prihodi ostvareni pružanjem usluga vatrogasnog osiguranja javnih priredbi, događaja, objekata, prostora, vatrometa, tečajevi i osposobljavanje pučanstva/ provođenje obuke iz zaštite od požara, administrativne i savjetodavne usluge vezane uz provedbu Zakona o zaštiti od požara, usluge ispumpavanja, rezidbe stabala, grana i sl., te ostale usluge (najam opreme kao što su pumpe, cijevi, agregati i sl.) ostvaruju se po cijenama iz Cjenika usluga JVP Grada Krka, kojeg donosi i odobrava Vatrogasno vijeće JVP Grada Krka. Iz navedenog Cjenika obračunavati će se i nastali troškovi vezani uz pripravnosti i upotrebu vatrogasnih vozila, trošak uporabe vatrogasne opreme i sredstava te cijena rada vatrogasca.</w:t>
      </w:r>
    </w:p>
    <w:p w14:paraId="57BFBA0D" w14:textId="77777777" w:rsidR="00B23632" w:rsidRDefault="00792472" w:rsidP="00B23632">
      <w:pPr>
        <w:jc w:val="both"/>
      </w:pPr>
      <w:r>
        <w:t>Prilikom pružanja navedenih usluga nastaju  troškovi koji se podmiruju iz ove aktivnosti, dok se preostali dio ostvarenih prihoda namjenski koristi za nabavku vatrogasne opreme.</w:t>
      </w:r>
    </w:p>
    <w:p w14:paraId="47AB44AC" w14:textId="615F8217" w:rsidR="00792472" w:rsidRDefault="00792472" w:rsidP="00B23632">
      <w:pPr>
        <w:jc w:val="both"/>
      </w:pPr>
      <w:r>
        <w:lastRenderedPageBreak/>
        <w:t>U 2023.g. ova aktivnost je ostvarena u iznosu od</w:t>
      </w:r>
      <w:r w:rsidR="0080050A">
        <w:t xml:space="preserve"> 7</w:t>
      </w:r>
      <w:r>
        <w:t xml:space="preserve">.880,35 eura što čini </w:t>
      </w:r>
      <w:r w:rsidR="0080050A">
        <w:t>88</w:t>
      </w:r>
      <w:r>
        <w:t xml:space="preserve"> % u odnosu na planiranih </w:t>
      </w:r>
      <w:r w:rsidR="0080050A">
        <w:t>8</w:t>
      </w:r>
      <w:r>
        <w:t>.955 eura. U navedenom razdoblju izdano je 98 faktura za usluge prijevoza vode, usluge osposobljavanja pučanstva za provedbu preventivnih mjera zaštite od požara, te usluge nadzora nad sustavom za dojavu požara u dva objekta. Dobivena sredstva utrošena su za podmirenje troškova nastalih uslijed pružanja usluga (trošak prekovremenih sati, utrošak vode i goriva), te za usluge tekućeg investicijskog održavanja. Također su utrošena i za nabavku opreme za održavanje i zaštitu kroz aktivnost K500107.</w:t>
      </w:r>
    </w:p>
    <w:p w14:paraId="10765500" w14:textId="77777777" w:rsidR="00792472" w:rsidRPr="00B23632" w:rsidRDefault="00792472" w:rsidP="00792472">
      <w:pPr>
        <w:rPr>
          <w:b/>
          <w:bCs/>
        </w:rPr>
      </w:pPr>
      <w:r w:rsidRPr="00B23632">
        <w:rPr>
          <w:b/>
          <w:bCs/>
        </w:rPr>
        <w:t>Aktivnost – A500117: Javna vatrogasna postrojba – pomoći iz nenadležnog proračuna</w:t>
      </w:r>
    </w:p>
    <w:p w14:paraId="26A7A4AA" w14:textId="77777777" w:rsidR="00792472" w:rsidRDefault="00792472" w:rsidP="00B23632">
      <w:pPr>
        <w:jc w:val="both"/>
      </w:pPr>
      <w:r>
        <w:t>Ova aktivnost  dodana je  II rebalansom financijskog plana za 2023. godinu, a vezana je uz dobivanje pomoći iz Hrvatske vatrogasne zajednice na temelju Odluke o refundaciji financijskih sredstava javnim vatrogasnim postrojbama u 2023. godini kojom su propisani uvjeti, visina i način ostvarivanja financijskih sredstava , a u cilju pomoći zbog općeg rasta cijena te usklađivanja poslovanja javnih vatrogasnih postrojbi s donesenim pravilnikom o klasifikaciji radnih mjesta profesionalnih vatrogasaca, mjerilima za njihovo utvrđivanje i koeficijentima složenosti poslova (NN 46/23). Pravo na refundaciju ostvarile su sve javne vatrogasne postrojbe u RH koje imaju rješenje odnosno odobrenje za obavljanje vatrogasne djelatnosti, te koje su u tijeku 2023.g. financirale rashode vlastitim prihodima ili sredstvima njihovih osnivača odnosno suosnivača, a koja se ne odnose na sredstva za decentralizirane funkcije vatrogastva ili su ostvarena putem natječaja tijela državne uprave, fondova Europske Unije i međunarodnih fondova.</w:t>
      </w:r>
    </w:p>
    <w:p w14:paraId="0864C210" w14:textId="77777777" w:rsidR="00792472" w:rsidRDefault="00792472" w:rsidP="00B23632">
      <w:pPr>
        <w:spacing w:after="0"/>
      </w:pPr>
      <w:r>
        <w:t>Odlukom je propisano da su prihvatljivi rashodi za refundaciju:</w:t>
      </w:r>
    </w:p>
    <w:p w14:paraId="1C758B0C" w14:textId="56A03940" w:rsidR="00792472" w:rsidRDefault="00792472" w:rsidP="00AC7FF1">
      <w:pPr>
        <w:pStyle w:val="ListParagraph"/>
        <w:numPr>
          <w:ilvl w:val="1"/>
          <w:numId w:val="11"/>
        </w:numPr>
        <w:jc w:val="both"/>
      </w:pPr>
      <w:r>
        <w:t>rashodi za materijal i energiju</w:t>
      </w:r>
    </w:p>
    <w:p w14:paraId="64641DC7" w14:textId="4720E6B6" w:rsidR="00792472" w:rsidRDefault="00792472" w:rsidP="00AC7FF1">
      <w:pPr>
        <w:pStyle w:val="ListParagraph"/>
        <w:numPr>
          <w:ilvl w:val="1"/>
          <w:numId w:val="11"/>
        </w:numPr>
        <w:jc w:val="both"/>
      </w:pPr>
      <w:r>
        <w:t>rashodi za usluge  i to: usluge tekućeg i investicijskog održavanja, komunalne usluge, zakupnine i najamnine, obvezni i preventivni zdravstveni pregledi, računalne usluge, te usluge pri registraciji prijevoznih vozila</w:t>
      </w:r>
    </w:p>
    <w:p w14:paraId="6FD75400" w14:textId="4F2D70D2" w:rsidR="00792472" w:rsidRDefault="00792472" w:rsidP="00AC7FF1">
      <w:pPr>
        <w:pStyle w:val="ListParagraph"/>
        <w:numPr>
          <w:ilvl w:val="1"/>
          <w:numId w:val="11"/>
        </w:numPr>
        <w:jc w:val="both"/>
      </w:pPr>
      <w:r>
        <w:t>ostali nespomenuti rashodi poslovanja i to: premije osiguranja</w:t>
      </w:r>
    </w:p>
    <w:p w14:paraId="4FB7C9AC" w14:textId="38D07630" w:rsidR="00792472" w:rsidRDefault="00792472" w:rsidP="00AC7FF1">
      <w:pPr>
        <w:pStyle w:val="ListParagraph"/>
        <w:numPr>
          <w:ilvl w:val="1"/>
          <w:numId w:val="11"/>
        </w:numPr>
        <w:jc w:val="both"/>
      </w:pPr>
      <w:r>
        <w:t>rashodi za nabavu dugotrajne imovine- vatrogasna tehnika i oprema namijenjena za vatrogasne intervencije.</w:t>
      </w:r>
    </w:p>
    <w:p w14:paraId="58C0A88B" w14:textId="77777777" w:rsidR="00792472" w:rsidRDefault="00792472" w:rsidP="00AC7FF1">
      <w:pPr>
        <w:jc w:val="both"/>
      </w:pPr>
      <w:r>
        <w:t>Također je unutar Odluke dodana i propisana tablica  „ Zahtjev za refundaciju financijskih sredstava  JVP-a u 2023.g.“ preko koje se šalje  zahtjev, te su se uz popunjenu tablicu morali poslati dokazi (preslike računa i dokaz o podmirenju) za koje se traži refundacija.</w:t>
      </w:r>
    </w:p>
    <w:p w14:paraId="720ECD43" w14:textId="77777777" w:rsidR="00792472" w:rsidRDefault="00792472" w:rsidP="00AC7FF1">
      <w:pPr>
        <w:jc w:val="both"/>
      </w:pPr>
      <w:r>
        <w:t>Na temelju ove odluke propisano je da  JVP Grada Krka može ostvariti maksimalan iznos sredstva u iznosu od 42.988,92 €, koji je od strane HVZ u potpunosti uplaćen na račun našeg osnivača Grada Krka i isti je transferiran na naš račun. Za ovu aktivnost utrošena su ukupno planirana sredstva u iznosu od 29.474,04 eura, dok ostatak u iznosu od 13.514,88 eura utrošen za nabavku opreme za održavanje i zaštitu preko aktivnosti K500118.</w:t>
      </w:r>
    </w:p>
    <w:p w14:paraId="3CE56B57" w14:textId="77777777" w:rsidR="00792472" w:rsidRPr="00AC7FF1" w:rsidRDefault="00792472" w:rsidP="00792472">
      <w:pPr>
        <w:rPr>
          <w:b/>
          <w:bCs/>
        </w:rPr>
      </w:pPr>
      <w:r w:rsidRPr="00AC7FF1">
        <w:rPr>
          <w:b/>
          <w:bCs/>
        </w:rPr>
        <w:t>Aktivnost – K500105: Javna vatrogasna postrojba – objekti, vozila, oprema – donacije.</w:t>
      </w:r>
    </w:p>
    <w:p w14:paraId="4853C6F1" w14:textId="77777777" w:rsidR="00792472" w:rsidRDefault="00792472" w:rsidP="00AC7FF1">
      <w:pPr>
        <w:jc w:val="both"/>
      </w:pPr>
      <w:r>
        <w:t xml:space="preserve">Odnosi se na sredstva kojima se izvršavaju rashodi razreda 4., koji su najvećim dijelom vezani za nabavku nefinancijske imovine, odnosno kapitalne investicije na i oko  objekta, postrojenja, nabavku vatrogasne i komunikacijske opreme, opreme za održavanje i zaštitu, instrumenata, nabavku uređaja i strojeva, te na prijevozna sredstva. </w:t>
      </w:r>
    </w:p>
    <w:p w14:paraId="5103D953" w14:textId="24B09E1D" w:rsidR="00792472" w:rsidRDefault="00792472" w:rsidP="00AC7FF1">
      <w:pPr>
        <w:jc w:val="both"/>
      </w:pPr>
      <w:r>
        <w:t xml:space="preserve">U 2020. godini započeli smo sa programom nabavke nove zaštitne, osobne i skupne opreme za djelatnike </w:t>
      </w:r>
      <w:r w:rsidR="00AC7FF1">
        <w:t>smo</w:t>
      </w:r>
      <w:r>
        <w:t xml:space="preserve"> nastavi</w:t>
      </w:r>
      <w:r w:rsidR="00AC7FF1">
        <w:t>l</w:t>
      </w:r>
      <w:r>
        <w:t xml:space="preserve">i u narednom razdoblju. U 2020. godini su nabavljene nove zaštitne kacige za strukturne požare, u 2021. godini su nabavljene lampe za kacige i zaštitna interventna odijela za </w:t>
      </w:r>
      <w:r>
        <w:lastRenderedPageBreak/>
        <w:t>strukturne požare. U 2022. godini nabavljene su zaštitne interventne rukavice i čizme za strukturne požare čime se završio program nabavke nove zaštitne osobne opreme za strukturne požare za sve djelatnike.</w:t>
      </w:r>
    </w:p>
    <w:p w14:paraId="1BB533D3" w14:textId="0363D2C1" w:rsidR="00792472" w:rsidRDefault="00792472" w:rsidP="00AC7FF1">
      <w:pPr>
        <w:jc w:val="both"/>
      </w:pPr>
      <w:r>
        <w:t xml:space="preserve">U 2023. godini </w:t>
      </w:r>
      <w:r w:rsidR="00AC7FF1">
        <w:t xml:space="preserve">smo </w:t>
      </w:r>
      <w:r>
        <w:t xml:space="preserve">započeli sa nabavkom nove zaštitne opreme za gašenje požara otvorenog prostora </w:t>
      </w:r>
      <w:r w:rsidR="00AC7FF1">
        <w:t>te smo izvršili</w:t>
      </w:r>
      <w:r>
        <w:t xml:space="preserve"> nabavk</w:t>
      </w:r>
      <w:r w:rsidR="00AC7FF1">
        <w:t>u</w:t>
      </w:r>
      <w:r>
        <w:t xml:space="preserve"> novih zaštitnih kombinezona za požare otvorenih prostora i zaštitnih čizama za požare otvorenih prostora. Usporedo </w:t>
      </w:r>
      <w:r w:rsidR="00AC7FF1">
        <w:t>smo</w:t>
      </w:r>
      <w:r>
        <w:t xml:space="preserve"> izvršil</w:t>
      </w:r>
      <w:r w:rsidR="00AC7FF1">
        <w:t>i</w:t>
      </w:r>
      <w:r>
        <w:t xml:space="preserve"> i nabavk</w:t>
      </w:r>
      <w:r w:rsidR="00AC7FF1">
        <w:t>u</w:t>
      </w:r>
      <w:r>
        <w:t xml:space="preserve"> radnih odora. Nastavak nabavke nove zaštitne opreme za gašenje požara otvorenih prostora nastavio bi se u 2024. godini nabavkom novih zaštitnih kaciga za požare otvorenih prostora. Ovime bi se završio ciklus nabavke nove zaštitne opreme za gašenje požara.</w:t>
      </w:r>
    </w:p>
    <w:p w14:paraId="24E465E9" w14:textId="7F8B6FD9" w:rsidR="00792472" w:rsidRDefault="00792472" w:rsidP="00AC7FF1">
      <w:pPr>
        <w:jc w:val="both"/>
      </w:pPr>
      <w:r>
        <w:t>Od ulaganja u objekte nastav</w:t>
      </w:r>
      <w:r w:rsidR="00AC7FF1">
        <w:t>ili smo sa</w:t>
      </w:r>
      <w:r>
        <w:t xml:space="preserve"> izgradnj</w:t>
      </w:r>
      <w:r w:rsidR="00AC7FF1">
        <w:t>om</w:t>
      </w:r>
      <w:r>
        <w:t xml:space="preserve"> nadstrešnice/ garaže za novo vozilo dobiveno na korištenje od strane MUP RH kroz Projekt „Modernizacija vozila vatrogasnih postrojbi RH“ započete 2021. godine izgradnjom nadstrešnice, koja se nastavila u 2022. godini 2. fazom – zatvaranjem/ izgradnjom pregradnih zidova i ugradnjom prozora, da bi se u 2023. godini završilo sa 3. fazom – ugradnjom podiznih vrata i elektrifikacijom prostora. </w:t>
      </w:r>
    </w:p>
    <w:p w14:paraId="0014AEA6" w14:textId="0B2D5055" w:rsidR="00792472" w:rsidRDefault="00792472" w:rsidP="00AC7FF1">
      <w:pPr>
        <w:jc w:val="both"/>
      </w:pPr>
      <w:r>
        <w:t>Isto tako nastavi</w:t>
      </w:r>
      <w:r w:rsidR="00AC7FF1">
        <w:t>li smo</w:t>
      </w:r>
      <w:r>
        <w:t xml:space="preserve"> sa planskom kontrolom, te periodičkim pregledima i atestiranjima vatrogasne opreme, uređaja i sredstava kojima u </w:t>
      </w:r>
      <w:r w:rsidR="00AC7FF1">
        <w:t>toku</w:t>
      </w:r>
      <w:r>
        <w:t xml:space="preserve"> 2023. godine isti</w:t>
      </w:r>
      <w:r w:rsidR="00AC7FF1">
        <w:t>cao</w:t>
      </w:r>
      <w:r>
        <w:t xml:space="preserve"> rok, odnosno atest. U tom smislu svi uređaji, oprema i sredstva </w:t>
      </w:r>
      <w:r w:rsidR="00AC7FF1">
        <w:t xml:space="preserve">su </w:t>
      </w:r>
      <w:r>
        <w:t>se pregleda</w:t>
      </w:r>
      <w:r w:rsidR="00AC7FF1">
        <w:t>li</w:t>
      </w:r>
      <w:r>
        <w:t xml:space="preserve"> sukladno zakonskim i podzakonskim aktima, odnosno preporukama proizvođača.</w:t>
      </w:r>
    </w:p>
    <w:p w14:paraId="343019FE" w14:textId="607AE616" w:rsidR="00792472" w:rsidRDefault="00792472" w:rsidP="00AC7FF1">
      <w:pPr>
        <w:jc w:val="both"/>
      </w:pPr>
      <w:r>
        <w:t>Od planiranih nabavki ova aktivnost je ostvarena u iznosu od 17.731,21 eura što čini 56 % u odnosu na plan. U računalnu opremu izvršeno je ulaganje u iznosu od 100,00 eura kupovinom jednog skenera za potrebe novo zaposlene djelatnice u administraciji. Za opremanje kancelarije nove djelatnice nabavljen je uredski namještaj  u iznosi od 1.254,88 eura. Od vatrogasne opreme nabavljen je dimnjačarski alat i utikač u slučaju nužde za električna i plug-in hibridna vozila u vrijednosti od 3.019,75 eura, 22 komada vatrogasnih opasača sa karabinjerom u vrijednosti od 2.147,63 eura (2.000 eura utrošeno je preko aktivnosti K500118, a ostatak preko ove aktivnosti), 22 komada vatrogasnih čizama Jolly u vrijednosti od 6.149 eura, 60 komada usisnih spojnica za cijevi u vrijednosti od 1.406,03 eura, te dvije pumpe za vodu u vrijednosti od 692,83 eura.</w:t>
      </w:r>
      <w:r w:rsidR="00AC7FF1">
        <w:t xml:space="preserve"> </w:t>
      </w:r>
    </w:p>
    <w:p w14:paraId="3461F081" w14:textId="77777777" w:rsidR="00792472" w:rsidRPr="00AC7FF1" w:rsidRDefault="00792472" w:rsidP="00792472">
      <w:pPr>
        <w:rPr>
          <w:b/>
          <w:bCs/>
        </w:rPr>
      </w:pPr>
      <w:r w:rsidRPr="00AC7FF1">
        <w:rPr>
          <w:b/>
          <w:bCs/>
        </w:rPr>
        <w:t>Aktivnost – K500107: Javna vatrogasna postrojba – vlastita oprema i prijevozna sredstva.</w:t>
      </w:r>
    </w:p>
    <w:p w14:paraId="2C54466D" w14:textId="77777777" w:rsidR="00792472" w:rsidRDefault="00792472" w:rsidP="00AC7FF1">
      <w:pPr>
        <w:jc w:val="both"/>
      </w:pPr>
      <w:r>
        <w:t>Odnosi se  u manjem opsegu na sredstva kojima se izvršavaju rashodi razreda 4., za nabavku nefinancijske imovine, a vezano uz ulaganje u opremu za održavanje i zaštitu, odnosno zaštitnu osobnu i skupnu vatrogasnu opremu. Realizacija ove aktivnosti vezana je uz vlastite prihode koje JVP Grada Krka ostvaruje pružanjem usluga, a koja su strogo namjenska i koriste se za  nabavku komunikacijske  opreme, kao i opreme  i sredstava za vatrogasne intervencije, odnosno obavljanje vatrogasne djelatnosti.</w:t>
      </w:r>
    </w:p>
    <w:p w14:paraId="092BC7A1" w14:textId="0AD9CC2F" w:rsidR="00792472" w:rsidRDefault="00792472" w:rsidP="00AC7FF1">
      <w:pPr>
        <w:jc w:val="both"/>
      </w:pPr>
      <w:r>
        <w:t xml:space="preserve">Ova aktivnost je planirana i ostvarena u iznosu od 2.000 eura, a utrošena je za nabavku vatrogasnih lampi. </w:t>
      </w:r>
    </w:p>
    <w:p w14:paraId="6F96336B" w14:textId="77777777" w:rsidR="00792472" w:rsidRDefault="00792472" w:rsidP="00792472">
      <w:pPr>
        <w:rPr>
          <w:b/>
          <w:bCs/>
        </w:rPr>
      </w:pPr>
      <w:r w:rsidRPr="00AC7FF1">
        <w:rPr>
          <w:b/>
          <w:bCs/>
        </w:rPr>
        <w:t>Aktivnost – K500113: Javna vatrogasna postrojba – oprema – nenadležni proračun.</w:t>
      </w:r>
    </w:p>
    <w:p w14:paraId="6112B914" w14:textId="77777777" w:rsidR="007356D2" w:rsidRDefault="007356D2" w:rsidP="007356D2">
      <w:pPr>
        <w:jc w:val="both"/>
      </w:pPr>
      <w:r>
        <w:t>Ova aktivnost planirana je u iznosu  od 11.330 eura, a ostvarena je u iznosu od 1.995,67 eura.</w:t>
      </w:r>
    </w:p>
    <w:p w14:paraId="703F7818" w14:textId="6E6DC649" w:rsidR="00792472" w:rsidRDefault="00792472" w:rsidP="00AC7FF1">
      <w:pPr>
        <w:jc w:val="both"/>
      </w:pPr>
      <w:r>
        <w:t xml:space="preserve">Odnosi se na sredstava povrata (refundacije) za moguće materijalne troškove za naknadu štete koje su nastale učestvovanjem na izvanrednim dislokacijama, izvan područja odgovornosti JVP Grada Krka, a po zapovjedi Glavnog ili županijskog vatrogasnog zapovjednika. Navedenim sredstvima izvršavaju se rashodi razreda 4., za nabavku nefinancijske imovine, a vezano uz ulaganje u opremu za održavanje i </w:t>
      </w:r>
      <w:r>
        <w:lastRenderedPageBreak/>
        <w:t xml:space="preserve">zaštitu, odnosno zaštitnu osobnu i skupnu vatrogasnu opremu. Povrat sredstava (refundacija) ostvaruje se zahtjevom prema VZ PGŽ – županijskom  vatrogasnom zapovjedniku, a isplaćuju se preko proračuna Osnivača (Grada Krka). Za izvršenje navedene zadaće, a prema Planu dislokacija vatrogasnih snaga, tehnike, opreme i sredstava navedena sredstva osiguravaju se na posebnoj poziciji Državne riznice. </w:t>
      </w:r>
      <w:r w:rsidR="007356D2">
        <w:t xml:space="preserve">Također je kroz ovu aktivnost planirana i nabavka opreme od ostvarenog viška prihoda iz prethodne godine u vrijednosti od 10.000 eura. Kako smo dobili pomoć od HVZ i za nabavku opreme, preko ove aktivnosti smo nabavili opremu u iznosu od 1.995, 67 eura.  </w:t>
      </w:r>
    </w:p>
    <w:p w14:paraId="6A4635B9" w14:textId="7D3E956A" w:rsidR="00792472" w:rsidRPr="00AC7FF1" w:rsidRDefault="008B467C" w:rsidP="008B467C">
      <w:pPr>
        <w:jc w:val="both"/>
        <w:rPr>
          <w:b/>
          <w:bCs/>
        </w:rPr>
      </w:pPr>
      <w:r w:rsidRPr="008B467C">
        <w:rPr>
          <w:b/>
          <w:bCs/>
        </w:rPr>
        <w:t>A</w:t>
      </w:r>
      <w:r w:rsidR="00792472" w:rsidRPr="00AC7FF1">
        <w:rPr>
          <w:b/>
          <w:bCs/>
        </w:rPr>
        <w:t>ktivnost – K500118: Javna vatrogasna postrojba – pomoći iz nenadležnog proračuna</w:t>
      </w:r>
    </w:p>
    <w:p w14:paraId="53961739" w14:textId="7032F1BE" w:rsidR="00792472" w:rsidRDefault="00792472" w:rsidP="00AC7FF1">
      <w:pPr>
        <w:jc w:val="both"/>
      </w:pPr>
      <w:r>
        <w:t>Ova aktivnost  kao i aktivnost A500117 dodana je  II</w:t>
      </w:r>
      <w:r w:rsidR="00AC7FF1">
        <w:t>.</w:t>
      </w:r>
      <w:r>
        <w:t xml:space="preserve"> rebalansom Financijskog plana za 2023. godinu, a isto je vezana uz dobivanje pomoći iz Hrvatske vatrogasne zajednice na temelju Odluke o refundaciji financijskih sredstava javnim vatrogasnim postrojbama u 2023. godini. Dobivena sredstva u iznosu od 13.514,88 eura utrošena su  za nabavku zaštitnih vatrogasnih kombinezona u iznosu od 8.347,50 eura, te za nabavku vatrogasnih opasača i usisnih spojnica u iznosu od 5.167,38 eura. </w:t>
      </w:r>
    </w:p>
    <w:p w14:paraId="4005D01B" w14:textId="1DE61DE2" w:rsidR="00792472" w:rsidRDefault="00792472" w:rsidP="002A1853">
      <w:pPr>
        <w:pStyle w:val="ListParagraph"/>
        <w:numPr>
          <w:ilvl w:val="0"/>
          <w:numId w:val="13"/>
        </w:numPr>
        <w:ind w:left="284" w:hanging="284"/>
        <w:rPr>
          <w:b/>
          <w:bCs/>
        </w:rPr>
      </w:pPr>
      <w:r w:rsidRPr="002A1853">
        <w:rPr>
          <w:b/>
          <w:bCs/>
        </w:rPr>
        <w:t>CILJEVI PROGRAMA</w:t>
      </w:r>
    </w:p>
    <w:p w14:paraId="37EDE2AF" w14:textId="0F092732" w:rsidR="002A1853" w:rsidRPr="002A1853" w:rsidRDefault="002A1853" w:rsidP="002A1853">
      <w:pPr>
        <w:spacing w:after="0"/>
      </w:pPr>
      <w:r w:rsidRPr="002A1853">
        <w:t>Ciljevi programa su:</w:t>
      </w:r>
    </w:p>
    <w:p w14:paraId="30FFB7A2" w14:textId="60F636B4" w:rsidR="00792472" w:rsidRDefault="00792472" w:rsidP="002A1853">
      <w:pPr>
        <w:pStyle w:val="ListParagraph"/>
        <w:numPr>
          <w:ilvl w:val="0"/>
          <w:numId w:val="14"/>
        </w:numPr>
        <w:spacing w:before="240"/>
      </w:pPr>
      <w:r>
        <w:t>Pružanje pomoći i suradnje žiteljima otoka Krka kao i ustanovama te pravnim subjektima u preventivnom djelu zaštite od požara, zaštite i spašavanja, te podizanje svijesti o opasnostima od požara.</w:t>
      </w:r>
    </w:p>
    <w:p w14:paraId="5D349625" w14:textId="134173C8" w:rsidR="00792472" w:rsidRDefault="00792472" w:rsidP="002A1853">
      <w:pPr>
        <w:pStyle w:val="ListParagraph"/>
        <w:numPr>
          <w:ilvl w:val="0"/>
          <w:numId w:val="14"/>
        </w:numPr>
      </w:pPr>
      <w:r>
        <w:t>Redovno financiranje prava zaposlenika iz radnog odnosa i materijalnih troškova.</w:t>
      </w:r>
    </w:p>
    <w:p w14:paraId="4570F08B" w14:textId="0CB52D68" w:rsidR="00792472" w:rsidRDefault="00792472" w:rsidP="002A1853">
      <w:pPr>
        <w:pStyle w:val="ListParagraph"/>
        <w:numPr>
          <w:ilvl w:val="0"/>
          <w:numId w:val="14"/>
        </w:numPr>
      </w:pPr>
      <w:r>
        <w:t>Nastavak unapređenja postojećih i uvođenje novih tehnologija sa ciljem boljeg i efikasnijeg obavljanja djelatnosti i povećanja sigurnosti i zaštite zdravlja zaposlenih.</w:t>
      </w:r>
    </w:p>
    <w:p w14:paraId="18C8DBF1" w14:textId="36BD70EF" w:rsidR="00792472" w:rsidRDefault="00792472" w:rsidP="002A1853">
      <w:pPr>
        <w:pStyle w:val="ListParagraph"/>
        <w:numPr>
          <w:ilvl w:val="0"/>
          <w:numId w:val="14"/>
        </w:numPr>
      </w:pPr>
      <w:r>
        <w:t>Putem tečajeva i seminara usavršavati specijalnosti iz područja zaštite od požara, zaštite i spašavanja te ostalih znanja svih djelatnika.</w:t>
      </w:r>
    </w:p>
    <w:p w14:paraId="6CAA5F0D" w14:textId="68C17B0B" w:rsidR="00792472" w:rsidRDefault="00792472" w:rsidP="002A1853">
      <w:pPr>
        <w:pStyle w:val="ListParagraph"/>
        <w:numPr>
          <w:ilvl w:val="0"/>
          <w:numId w:val="14"/>
        </w:numPr>
      </w:pPr>
      <w:r>
        <w:t>Provođenje plana nastave i vježbi u 2023. godi</w:t>
      </w:r>
      <w:r w:rsidR="002A1853">
        <w:t>ni</w:t>
      </w:r>
      <w:r>
        <w:t xml:space="preserve">. </w:t>
      </w:r>
    </w:p>
    <w:p w14:paraId="5F0D5FE5" w14:textId="7C48824D" w:rsidR="00792472" w:rsidRDefault="00792472" w:rsidP="002A1853">
      <w:pPr>
        <w:pStyle w:val="ListParagraph"/>
        <w:numPr>
          <w:ilvl w:val="0"/>
          <w:numId w:val="14"/>
        </w:numPr>
      </w:pPr>
      <w:r>
        <w:t>Nabava nove i zamjena dotrajale vatrogasne opreme.</w:t>
      </w:r>
    </w:p>
    <w:p w14:paraId="1F24BCDE" w14:textId="2F794584" w:rsidR="00792472" w:rsidRDefault="00792472" w:rsidP="002A1853">
      <w:pPr>
        <w:pStyle w:val="ListParagraph"/>
        <w:numPr>
          <w:ilvl w:val="0"/>
          <w:numId w:val="14"/>
        </w:numPr>
      </w:pPr>
      <w:r>
        <w:t>Realizacija pomlađivanja i jačanja operativne sposobnosti postrojbe zapošljavanjem novih vatrogasaca radi odlaska djelatnika u mirovinu (četiri u 2024. godini, dva u 2025. godini).</w:t>
      </w:r>
    </w:p>
    <w:p w14:paraId="5F6E60F8" w14:textId="15FD13F7" w:rsidR="00792472" w:rsidRDefault="00792472" w:rsidP="002A1853">
      <w:pPr>
        <w:pStyle w:val="ListParagraph"/>
        <w:numPr>
          <w:ilvl w:val="0"/>
          <w:numId w:val="14"/>
        </w:numPr>
      </w:pPr>
      <w:r>
        <w:t>Omogućiti djelatnicima visokoškolsko obrazovanje sukladno njihovim zahtjevima.</w:t>
      </w:r>
    </w:p>
    <w:p w14:paraId="288AFF82" w14:textId="2761EDE6" w:rsidR="00792472" w:rsidRDefault="00792472" w:rsidP="002A1853">
      <w:pPr>
        <w:pStyle w:val="ListParagraph"/>
        <w:numPr>
          <w:ilvl w:val="0"/>
          <w:numId w:val="14"/>
        </w:numPr>
      </w:pPr>
      <w:r>
        <w:t>U suradnji sa PVZ otoka Krka provoditi aktivnosti iz Programa provedbe posebnih mjera zaštite od požara od interesa za RH kroz ljetnu požarnu sezonu.</w:t>
      </w:r>
    </w:p>
    <w:p w14:paraId="3ED93F9D" w14:textId="5261351F" w:rsidR="002A1853" w:rsidRDefault="00792472" w:rsidP="002A1853">
      <w:pPr>
        <w:pStyle w:val="ListParagraph"/>
        <w:numPr>
          <w:ilvl w:val="0"/>
          <w:numId w:val="14"/>
        </w:numPr>
      </w:pPr>
      <w:r>
        <w:t>U suradnji sa VZPGŽ, PVZ otoka Krka i otočkim DVD-ima organizirati osposobljavanja i usavršavanja za dobrovoljne vatrogasce te provoditi ista.</w:t>
      </w:r>
    </w:p>
    <w:p w14:paraId="0965AF58" w14:textId="77777777" w:rsidR="002A1853" w:rsidRDefault="002A1853" w:rsidP="002A1853">
      <w:pPr>
        <w:pStyle w:val="ListParagraph"/>
        <w:ind w:left="360"/>
      </w:pPr>
    </w:p>
    <w:p w14:paraId="72A6B1F5" w14:textId="4FD75964" w:rsidR="00792472" w:rsidRPr="003A39B4" w:rsidRDefault="00792472" w:rsidP="003A39B4">
      <w:pPr>
        <w:pStyle w:val="ListParagraph"/>
        <w:numPr>
          <w:ilvl w:val="1"/>
          <w:numId w:val="13"/>
        </w:numPr>
        <w:ind w:left="426" w:hanging="426"/>
        <w:rPr>
          <w:b/>
          <w:bCs/>
        </w:rPr>
      </w:pPr>
      <w:r w:rsidRPr="003A39B4">
        <w:rPr>
          <w:b/>
          <w:bCs/>
        </w:rPr>
        <w:t>Izvještaj o postignutim ciljevima</w:t>
      </w:r>
    </w:p>
    <w:p w14:paraId="0006058F" w14:textId="5D3D6BE2" w:rsidR="00792472" w:rsidRDefault="00792472" w:rsidP="00792472">
      <w:r>
        <w:t>Za utvrđene ciljeve i rezultate provedbe programa u 2023. godin</w:t>
      </w:r>
      <w:r w:rsidR="002A1853">
        <w:t>i</w:t>
      </w:r>
      <w:r>
        <w:t>, prate se slijedeći pokazatelji uspješnosti:</w:t>
      </w:r>
    </w:p>
    <w:p w14:paraId="020FF4AD" w14:textId="5031A331" w:rsidR="00792472" w:rsidRDefault="00792472" w:rsidP="002A1853">
      <w:pPr>
        <w:pStyle w:val="ListParagraph"/>
        <w:numPr>
          <w:ilvl w:val="0"/>
          <w:numId w:val="15"/>
        </w:numPr>
      </w:pPr>
      <w:r>
        <w:t>broj intervencija,</w:t>
      </w:r>
    </w:p>
    <w:p w14:paraId="392A4D64" w14:textId="2A814835" w:rsidR="00792472" w:rsidRDefault="00792472" w:rsidP="002A1853">
      <w:pPr>
        <w:pStyle w:val="ListParagraph"/>
        <w:numPr>
          <w:ilvl w:val="0"/>
          <w:numId w:val="15"/>
        </w:numPr>
      </w:pPr>
      <w:r>
        <w:t>realizacija Plana rada i Plana nabave za 2023. godinu,</w:t>
      </w:r>
    </w:p>
    <w:p w14:paraId="26E7D3D5" w14:textId="0A7F7770" w:rsidR="00792472" w:rsidRDefault="00792472" w:rsidP="003A39B4">
      <w:pPr>
        <w:pStyle w:val="ListParagraph"/>
        <w:numPr>
          <w:ilvl w:val="1"/>
          <w:numId w:val="15"/>
        </w:numPr>
      </w:pPr>
      <w:r>
        <w:t>ispunjenje obveza prema zaposlenicima,</w:t>
      </w:r>
    </w:p>
    <w:p w14:paraId="26B6663A" w14:textId="756BAB96" w:rsidR="00792472" w:rsidRDefault="00792472" w:rsidP="003A39B4">
      <w:pPr>
        <w:pStyle w:val="ListParagraph"/>
        <w:numPr>
          <w:ilvl w:val="1"/>
          <w:numId w:val="15"/>
        </w:numPr>
      </w:pPr>
      <w:r>
        <w:t>rad na preventivi,</w:t>
      </w:r>
    </w:p>
    <w:p w14:paraId="3E7C7C5D" w14:textId="7B0100AC" w:rsidR="00792472" w:rsidRDefault="00792472" w:rsidP="003A39B4">
      <w:pPr>
        <w:pStyle w:val="ListParagraph"/>
        <w:numPr>
          <w:ilvl w:val="1"/>
          <w:numId w:val="15"/>
        </w:numPr>
      </w:pPr>
      <w:r>
        <w:t>nabavka opreme,</w:t>
      </w:r>
    </w:p>
    <w:p w14:paraId="48BBC597" w14:textId="09140F01" w:rsidR="00792472" w:rsidRDefault="00792472" w:rsidP="003A39B4">
      <w:pPr>
        <w:pStyle w:val="ListParagraph"/>
        <w:numPr>
          <w:ilvl w:val="1"/>
          <w:numId w:val="15"/>
        </w:numPr>
      </w:pPr>
      <w:r>
        <w:t>održavanje objekta, postrojenja, vozila, uređaja i opreme.</w:t>
      </w:r>
    </w:p>
    <w:p w14:paraId="24D45FAC" w14:textId="77777777" w:rsidR="003A39B4" w:rsidRDefault="003A39B4" w:rsidP="003A39B4">
      <w:pPr>
        <w:pStyle w:val="ListParagraph"/>
        <w:ind w:left="1080"/>
      </w:pPr>
    </w:p>
    <w:p w14:paraId="48F12244" w14:textId="77777777" w:rsidR="003A39B4" w:rsidRDefault="003A39B4" w:rsidP="003A39B4">
      <w:pPr>
        <w:pStyle w:val="ListParagraph"/>
        <w:ind w:left="1080"/>
      </w:pPr>
    </w:p>
    <w:p w14:paraId="066FFC6D" w14:textId="77777777" w:rsidR="003A39B4" w:rsidRDefault="003A39B4" w:rsidP="003A39B4">
      <w:pPr>
        <w:pStyle w:val="ListParagraph"/>
        <w:ind w:left="1080"/>
      </w:pPr>
    </w:p>
    <w:p w14:paraId="037A851D" w14:textId="77777777" w:rsidR="003A39B4" w:rsidRDefault="003A39B4" w:rsidP="003A39B4">
      <w:pPr>
        <w:pStyle w:val="ListParagraph"/>
        <w:ind w:left="1080"/>
      </w:pPr>
    </w:p>
    <w:p w14:paraId="70A26436" w14:textId="414D0960" w:rsidR="003A39B4" w:rsidRPr="003A39B4" w:rsidRDefault="003A39B4" w:rsidP="003A39B4">
      <w:pPr>
        <w:pStyle w:val="ListParagraph"/>
        <w:numPr>
          <w:ilvl w:val="2"/>
          <w:numId w:val="13"/>
        </w:numPr>
        <w:rPr>
          <w:b/>
          <w:bCs/>
        </w:rPr>
      </w:pPr>
      <w:r w:rsidRPr="003A39B4">
        <w:rPr>
          <w:b/>
          <w:bCs/>
        </w:rPr>
        <w:t>Broj intervencija</w:t>
      </w:r>
    </w:p>
    <w:p w14:paraId="2E844041" w14:textId="77777777" w:rsidR="003A39B4" w:rsidRPr="005B7A59" w:rsidRDefault="003A39B4" w:rsidP="003A39B4">
      <w:pPr>
        <w:pStyle w:val="NoSpacing"/>
        <w:spacing w:after="240" w:line="276" w:lineRule="auto"/>
        <w:jc w:val="both"/>
        <w:rPr>
          <w:rFonts w:asciiTheme="minorHAnsi" w:hAnsiTheme="minorHAnsi" w:cstheme="minorHAnsi"/>
          <w:bCs/>
          <w:iCs/>
          <w:highlight w:val="yellow"/>
        </w:rPr>
      </w:pPr>
      <w:r w:rsidRPr="005B7A59">
        <w:rPr>
          <w:rFonts w:asciiTheme="minorHAnsi" w:hAnsiTheme="minorHAnsi" w:cstheme="minorHAnsi"/>
          <w:bCs/>
          <w:iCs/>
        </w:rPr>
        <w:t>Statistički podaci za 202</w:t>
      </w:r>
      <w:r>
        <w:rPr>
          <w:rFonts w:asciiTheme="minorHAnsi" w:hAnsiTheme="minorHAnsi" w:cstheme="minorHAnsi"/>
          <w:bCs/>
          <w:iCs/>
        </w:rPr>
        <w:t>3</w:t>
      </w:r>
      <w:r w:rsidRPr="005B7A59">
        <w:rPr>
          <w:rFonts w:asciiTheme="minorHAnsi" w:hAnsiTheme="minorHAnsi" w:cstheme="minorHAnsi"/>
          <w:bCs/>
          <w:iCs/>
        </w:rPr>
        <w:t>. godinu pokazuju da su vatrogasne postrojbe koje djeluju na otoku Krku odradile 3</w:t>
      </w:r>
      <w:r>
        <w:rPr>
          <w:rFonts w:asciiTheme="minorHAnsi" w:hAnsiTheme="minorHAnsi" w:cstheme="minorHAnsi"/>
          <w:bCs/>
          <w:iCs/>
        </w:rPr>
        <w:t>49</w:t>
      </w:r>
      <w:r w:rsidRPr="005B7A59">
        <w:rPr>
          <w:rFonts w:asciiTheme="minorHAnsi" w:hAnsiTheme="minorHAnsi" w:cstheme="minorHAnsi"/>
          <w:bCs/>
          <w:iCs/>
        </w:rPr>
        <w:t xml:space="preserve"> intervencija. Od toga je JVP Grada Krka odradila 2</w:t>
      </w:r>
      <w:r>
        <w:rPr>
          <w:rFonts w:asciiTheme="minorHAnsi" w:hAnsiTheme="minorHAnsi" w:cstheme="minorHAnsi"/>
          <w:bCs/>
          <w:iCs/>
        </w:rPr>
        <w:t>21</w:t>
      </w:r>
      <w:r w:rsidRPr="005B7A59">
        <w:rPr>
          <w:rFonts w:asciiTheme="minorHAnsi" w:hAnsiTheme="minorHAnsi" w:cstheme="minorHAnsi"/>
          <w:bCs/>
          <w:iCs/>
        </w:rPr>
        <w:t xml:space="preserve"> samostaln</w:t>
      </w:r>
      <w:r>
        <w:rPr>
          <w:rFonts w:asciiTheme="minorHAnsi" w:hAnsiTheme="minorHAnsi" w:cstheme="minorHAnsi"/>
          <w:bCs/>
          <w:iCs/>
        </w:rPr>
        <w:t>u</w:t>
      </w:r>
      <w:r w:rsidRPr="005B7A59">
        <w:rPr>
          <w:rFonts w:asciiTheme="minorHAnsi" w:hAnsiTheme="minorHAnsi" w:cstheme="minorHAnsi"/>
          <w:bCs/>
          <w:iCs/>
        </w:rPr>
        <w:t xml:space="preserve"> intervencij</w:t>
      </w:r>
      <w:r>
        <w:rPr>
          <w:rFonts w:asciiTheme="minorHAnsi" w:hAnsiTheme="minorHAnsi" w:cstheme="minorHAnsi"/>
          <w:bCs/>
          <w:iCs/>
        </w:rPr>
        <w:t>u</w:t>
      </w:r>
      <w:r w:rsidRPr="005B7A59">
        <w:rPr>
          <w:rFonts w:asciiTheme="minorHAnsi" w:hAnsiTheme="minorHAnsi" w:cstheme="minorHAnsi"/>
          <w:bCs/>
          <w:iCs/>
        </w:rPr>
        <w:t xml:space="preserve">, </w:t>
      </w:r>
      <w:r>
        <w:rPr>
          <w:rFonts w:asciiTheme="minorHAnsi" w:hAnsiTheme="minorHAnsi" w:cstheme="minorHAnsi"/>
          <w:bCs/>
          <w:iCs/>
        </w:rPr>
        <w:t>29</w:t>
      </w:r>
      <w:r w:rsidRPr="005B7A59">
        <w:rPr>
          <w:rFonts w:asciiTheme="minorHAnsi" w:hAnsiTheme="minorHAnsi" w:cstheme="minorHAnsi"/>
          <w:bCs/>
          <w:iCs/>
        </w:rPr>
        <w:t xml:space="preserve"> intervencija uz podršku DVD-a te su </w:t>
      </w:r>
      <w:r>
        <w:rPr>
          <w:rFonts w:asciiTheme="minorHAnsi" w:hAnsiTheme="minorHAnsi" w:cstheme="minorHAnsi"/>
          <w:bCs/>
          <w:iCs/>
        </w:rPr>
        <w:t>99</w:t>
      </w:r>
      <w:r w:rsidRPr="005B7A59">
        <w:rPr>
          <w:rFonts w:asciiTheme="minorHAnsi" w:hAnsiTheme="minorHAnsi" w:cstheme="minorHAnsi"/>
          <w:bCs/>
          <w:iCs/>
        </w:rPr>
        <w:t xml:space="preserve"> intervencij</w:t>
      </w:r>
      <w:r>
        <w:rPr>
          <w:rFonts w:asciiTheme="minorHAnsi" w:hAnsiTheme="minorHAnsi" w:cstheme="minorHAnsi"/>
          <w:bCs/>
          <w:iCs/>
        </w:rPr>
        <w:t>a</w:t>
      </w:r>
      <w:r w:rsidRPr="005B7A59">
        <w:rPr>
          <w:rFonts w:asciiTheme="minorHAnsi" w:hAnsiTheme="minorHAnsi" w:cstheme="minorHAnsi"/>
          <w:bCs/>
          <w:iCs/>
        </w:rPr>
        <w:t xml:space="preserve"> DVD-i odradili samostalno. </w:t>
      </w:r>
    </w:p>
    <w:p w14:paraId="22A1CC4A" w14:textId="77777777" w:rsidR="003A39B4" w:rsidRPr="005B7A59" w:rsidRDefault="003A39B4" w:rsidP="003A39B4">
      <w:pPr>
        <w:pStyle w:val="NoSpacing"/>
        <w:spacing w:line="276" w:lineRule="auto"/>
        <w:jc w:val="both"/>
        <w:rPr>
          <w:rFonts w:asciiTheme="minorHAnsi" w:hAnsiTheme="minorHAnsi" w:cstheme="minorHAnsi"/>
          <w:bCs/>
          <w:i/>
        </w:rPr>
      </w:pPr>
      <w:r w:rsidRPr="005B7A59">
        <w:rPr>
          <w:rFonts w:asciiTheme="minorHAnsi" w:hAnsiTheme="minorHAnsi" w:cstheme="minorHAnsi"/>
          <w:bCs/>
          <w:i/>
        </w:rPr>
        <w:t>Graf 1. Intervencije po vrstama i ukupnim brojem za 2022. i 2023. godinu.</w:t>
      </w:r>
    </w:p>
    <w:p w14:paraId="34270215" w14:textId="77777777" w:rsidR="003A39B4" w:rsidRPr="005B7A59" w:rsidRDefault="003A39B4" w:rsidP="003A39B4">
      <w:pPr>
        <w:pStyle w:val="NoSpacing"/>
        <w:spacing w:after="240" w:line="276" w:lineRule="auto"/>
        <w:jc w:val="both"/>
        <w:rPr>
          <w:rFonts w:asciiTheme="minorHAnsi" w:hAnsiTheme="minorHAnsi" w:cstheme="minorHAnsi"/>
          <w:bCs/>
          <w:i/>
          <w:highlight w:val="yellow"/>
        </w:rPr>
      </w:pPr>
      <w:r w:rsidRPr="005B7A59">
        <w:rPr>
          <w:rFonts w:asciiTheme="minorHAnsi" w:hAnsiTheme="minorHAnsi" w:cstheme="minorHAnsi"/>
          <w:noProof/>
        </w:rPr>
        <w:drawing>
          <wp:inline distT="0" distB="0" distL="0" distR="0" wp14:anchorId="2C9C010F" wp14:editId="77E167E6">
            <wp:extent cx="5760720" cy="3780000"/>
            <wp:effectExtent l="0" t="0" r="11430" b="11430"/>
            <wp:docPr id="951276211" name="Grafikon 1">
              <a:extLst xmlns:a="http://schemas.openxmlformats.org/drawingml/2006/main">
                <a:ext uri="{FF2B5EF4-FFF2-40B4-BE49-F238E27FC236}">
                  <a16:creationId xmlns:a16="http://schemas.microsoft.com/office/drawing/2014/main" id="{552FBBD2-F5F8-495E-A633-7844443933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5B7A59">
        <w:rPr>
          <w:rFonts w:asciiTheme="minorHAnsi" w:hAnsiTheme="minorHAnsi" w:cstheme="minorHAnsi"/>
          <w:bCs/>
          <w:iCs/>
          <w:highlight w:val="yellow"/>
        </w:rPr>
        <w:t xml:space="preserve"> </w:t>
      </w:r>
    </w:p>
    <w:p w14:paraId="5787B93E" w14:textId="77777777" w:rsidR="003A39B4" w:rsidRPr="005B7A59" w:rsidRDefault="003A39B4" w:rsidP="003A39B4">
      <w:pPr>
        <w:pStyle w:val="NoSpacing"/>
        <w:spacing w:after="240" w:line="276" w:lineRule="auto"/>
        <w:jc w:val="both"/>
        <w:rPr>
          <w:rFonts w:asciiTheme="minorHAnsi" w:hAnsiTheme="minorHAnsi" w:cstheme="minorHAnsi"/>
          <w:bCs/>
          <w:iCs/>
        </w:rPr>
      </w:pPr>
      <w:r w:rsidRPr="005B7A59">
        <w:rPr>
          <w:rFonts w:asciiTheme="minorHAnsi" w:hAnsiTheme="minorHAnsi" w:cstheme="minorHAnsi"/>
          <w:bCs/>
          <w:iCs/>
        </w:rPr>
        <w:t>Iz grafa 1. je vidljivo da je broj svih tipova intervencija manji, osim ostalih intervencija, u odnosu na prošlu godinu koja je bila rekordna godina po broju odrađenih intervencija. Povećanje broja ostalih tipova intervencija je prvenstveno vezano uz transport unesrećenih osoba „BURA“ vozilom preko Krčkog mosta jer je isti bio zatvoren za sav promet ili za I. skupinu vozila (u kojoj se nalaze vozila HMP). Konkretno, u 2023. godini smo odradili 47 prelazaka, odnosno prijevoza unesrećenih osoba „BURA“ vozilom preko Krčkog mosta. Kod požarnih intervencija bilježimo pad požara po svim mjestima nastanka izuzev na prometnim sredstvima gdje bilježimo porast broja ove vrste požara. Posebno smo zadovoljni padom broja požara na otvorenom prostoru što ćemo u nastavku dodatno obraditi. Kod tehničkih intervencija bilježimo</w:t>
      </w:r>
      <w:r>
        <w:rPr>
          <w:rFonts w:asciiTheme="minorHAnsi" w:hAnsiTheme="minorHAnsi" w:cstheme="minorHAnsi"/>
          <w:bCs/>
          <w:iCs/>
        </w:rPr>
        <w:t>,</w:t>
      </w:r>
      <w:r w:rsidRPr="005B7A59">
        <w:rPr>
          <w:rFonts w:asciiTheme="minorHAnsi" w:hAnsiTheme="minorHAnsi" w:cstheme="minorHAnsi"/>
          <w:bCs/>
          <w:iCs/>
        </w:rPr>
        <w:t xml:space="preserve"> također pad ukupnog broja intervencija. Porast bilježimo kod uklanjanja prepreka/ nestabilnih dijelova, otvaranja zaključanog prostora (stana), spašavanja životinja te broja intervencija pri prometnim nesrećama. </w:t>
      </w:r>
    </w:p>
    <w:p w14:paraId="0CDA62A8" w14:textId="77777777" w:rsidR="003A39B4" w:rsidRPr="005B7A59" w:rsidRDefault="003A39B4" w:rsidP="003A39B4">
      <w:pPr>
        <w:pStyle w:val="NoSpacing"/>
        <w:spacing w:after="240" w:line="276" w:lineRule="auto"/>
        <w:jc w:val="both"/>
        <w:rPr>
          <w:rFonts w:asciiTheme="minorHAnsi" w:hAnsiTheme="minorHAnsi" w:cstheme="minorHAnsi"/>
          <w:bCs/>
          <w:iCs/>
        </w:rPr>
      </w:pPr>
      <w:r w:rsidRPr="005B7A59">
        <w:rPr>
          <w:rFonts w:asciiTheme="minorHAnsi" w:hAnsiTheme="minorHAnsi" w:cstheme="minorHAnsi"/>
          <w:bCs/>
          <w:iCs/>
        </w:rPr>
        <w:t>U grafu 2. dan je prikaz požarnih intervencija po mjestu nastanka. Poseban osvrt dati ćemo na požare otvorenog prostora, kojih je u 2023. godini bilo 12 manje u odnosu na prošlu godinu, odnosno 30 požara otvorenog prostora. Shodno tome i opožarena površina je manja i to značajno. U 2022. godini, u 42 intervencije na požarima otvorenog prostora opožarena je površina od 8,99 ha (89.953 m</w:t>
      </w:r>
      <w:r w:rsidRPr="005B7A59">
        <w:rPr>
          <w:rFonts w:asciiTheme="minorHAnsi" w:hAnsiTheme="minorHAnsi" w:cstheme="minorHAnsi"/>
          <w:bCs/>
          <w:iCs/>
          <w:vertAlign w:val="superscript"/>
        </w:rPr>
        <w:t>2</w:t>
      </w:r>
      <w:r w:rsidRPr="005B7A59">
        <w:rPr>
          <w:rFonts w:asciiTheme="minorHAnsi" w:hAnsiTheme="minorHAnsi" w:cstheme="minorHAnsi"/>
          <w:bCs/>
          <w:iCs/>
        </w:rPr>
        <w:t xml:space="preserve">), dok je u 2023. godini, u 30 intervencija na požarima otvorenog prostora opožarena površina od svega </w:t>
      </w:r>
      <w:r w:rsidRPr="005B7A59">
        <w:rPr>
          <w:rFonts w:asciiTheme="minorHAnsi" w:hAnsiTheme="minorHAnsi" w:cstheme="minorHAnsi"/>
          <w:bCs/>
          <w:iCs/>
        </w:rPr>
        <w:lastRenderedPageBreak/>
        <w:t>0,7693 ha (7.693 m</w:t>
      </w:r>
      <w:r w:rsidRPr="005B7A59">
        <w:rPr>
          <w:rFonts w:asciiTheme="minorHAnsi" w:hAnsiTheme="minorHAnsi" w:cstheme="minorHAnsi"/>
          <w:bCs/>
          <w:iCs/>
          <w:vertAlign w:val="superscript"/>
        </w:rPr>
        <w:t>2</w:t>
      </w:r>
      <w:r w:rsidRPr="005B7A59">
        <w:rPr>
          <w:rFonts w:asciiTheme="minorHAnsi" w:hAnsiTheme="minorHAnsi" w:cstheme="minorHAnsi"/>
          <w:bCs/>
          <w:iCs/>
        </w:rPr>
        <w:t xml:space="preserve">). Povoljni vremenski uvjeti, poglavito misleći na oborine koje su se javljale u skoro redovnim intervalima, unatoč rekordnim temperaturama i toplinskim valovima te brza i pravovremena reakcija vatrogasnih snaga, zajednički su doprinijele ovom zadovoljavajućem rezultatu.  Svakako treba spomenuti i pohvaliti savjesno stanovništvo (domicilno i doseljenike) na 1772 prijave </w:t>
      </w:r>
      <w:r>
        <w:rPr>
          <w:rFonts w:asciiTheme="minorHAnsi" w:hAnsiTheme="minorHAnsi" w:cstheme="minorHAnsi"/>
          <w:bCs/>
          <w:iCs/>
        </w:rPr>
        <w:t xml:space="preserve">kontroliranog </w:t>
      </w:r>
      <w:r w:rsidRPr="005B7A59">
        <w:rPr>
          <w:rFonts w:asciiTheme="minorHAnsi" w:hAnsiTheme="minorHAnsi" w:cstheme="minorHAnsi"/>
          <w:bCs/>
          <w:iCs/>
        </w:rPr>
        <w:t xml:space="preserve">spaljivanja u periodu kada je isto dopušteno. </w:t>
      </w:r>
    </w:p>
    <w:p w14:paraId="3107866C" w14:textId="77777777" w:rsidR="003A39B4" w:rsidRPr="005B7A59" w:rsidRDefault="003A39B4" w:rsidP="003A39B4">
      <w:pPr>
        <w:pStyle w:val="NoSpacing"/>
        <w:spacing w:line="276" w:lineRule="auto"/>
        <w:jc w:val="both"/>
        <w:rPr>
          <w:rFonts w:asciiTheme="minorHAnsi" w:hAnsiTheme="minorHAnsi" w:cstheme="minorHAnsi"/>
          <w:bCs/>
          <w:i/>
        </w:rPr>
      </w:pPr>
      <w:r w:rsidRPr="005B7A59">
        <w:rPr>
          <w:rFonts w:asciiTheme="minorHAnsi" w:hAnsiTheme="minorHAnsi" w:cstheme="minorHAnsi"/>
          <w:bCs/>
          <w:i/>
        </w:rPr>
        <w:t>Graf 2. Požari po mjestu nastanka.</w:t>
      </w:r>
    </w:p>
    <w:p w14:paraId="08BCAA57" w14:textId="77777777" w:rsidR="003A39B4" w:rsidRPr="005B7A59" w:rsidRDefault="003A39B4" w:rsidP="003A39B4">
      <w:pPr>
        <w:pStyle w:val="NoSpacing"/>
        <w:spacing w:after="240" w:line="276" w:lineRule="auto"/>
        <w:jc w:val="both"/>
        <w:rPr>
          <w:rFonts w:asciiTheme="minorHAnsi" w:hAnsiTheme="minorHAnsi" w:cstheme="minorHAnsi"/>
          <w:bCs/>
          <w:i/>
        </w:rPr>
      </w:pPr>
      <w:r w:rsidRPr="005B7A59">
        <w:rPr>
          <w:rFonts w:asciiTheme="minorHAnsi" w:hAnsiTheme="minorHAnsi" w:cstheme="minorHAnsi"/>
          <w:noProof/>
        </w:rPr>
        <w:drawing>
          <wp:inline distT="0" distB="0" distL="0" distR="0" wp14:anchorId="1D5BDF63" wp14:editId="6895A41E">
            <wp:extent cx="5976000" cy="3384000"/>
            <wp:effectExtent l="0" t="0" r="5715" b="6985"/>
            <wp:docPr id="1896932905" name="Grafikon 1">
              <a:extLst xmlns:a="http://schemas.openxmlformats.org/drawingml/2006/main">
                <a:ext uri="{FF2B5EF4-FFF2-40B4-BE49-F238E27FC236}">
                  <a16:creationId xmlns:a16="http://schemas.microsoft.com/office/drawing/2014/main" id="{AE095E6A-90FA-4664-B770-38CB3D26E9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32D71A2" w14:textId="12B8F56E" w:rsidR="003A39B4" w:rsidRPr="003A39B4" w:rsidRDefault="003A39B4" w:rsidP="003A39B4">
      <w:pPr>
        <w:pStyle w:val="NoSpacing"/>
        <w:spacing w:after="240" w:line="276" w:lineRule="auto"/>
        <w:jc w:val="both"/>
        <w:rPr>
          <w:rFonts w:asciiTheme="minorHAnsi" w:hAnsiTheme="minorHAnsi" w:cstheme="minorHAnsi"/>
          <w:bCs/>
          <w:iCs/>
        </w:rPr>
      </w:pPr>
      <w:r w:rsidRPr="005B7A59">
        <w:rPr>
          <w:rFonts w:asciiTheme="minorHAnsi" w:hAnsiTheme="minorHAnsi" w:cstheme="minorHAnsi"/>
          <w:bCs/>
          <w:iCs/>
        </w:rPr>
        <w:t>Slijedeći, graf 3. nam prikazuje tehničke intervencije po mjestu nastanka.</w:t>
      </w:r>
    </w:p>
    <w:p w14:paraId="516D2227" w14:textId="77777777" w:rsidR="003A39B4" w:rsidRPr="005B7A59" w:rsidRDefault="003A39B4" w:rsidP="003A39B4">
      <w:pPr>
        <w:pStyle w:val="NoSpacing"/>
        <w:spacing w:line="276" w:lineRule="auto"/>
        <w:jc w:val="both"/>
        <w:rPr>
          <w:rFonts w:asciiTheme="minorHAnsi" w:hAnsiTheme="minorHAnsi" w:cstheme="minorHAnsi"/>
          <w:bCs/>
          <w:i/>
        </w:rPr>
      </w:pPr>
      <w:r w:rsidRPr="005B7A59">
        <w:rPr>
          <w:rFonts w:asciiTheme="minorHAnsi" w:hAnsiTheme="minorHAnsi" w:cstheme="minorHAnsi"/>
          <w:bCs/>
          <w:i/>
        </w:rPr>
        <w:t>Graf 3. Tehničke intervencije po mjestu nastanka.</w:t>
      </w:r>
    </w:p>
    <w:p w14:paraId="62C404E3" w14:textId="77777777" w:rsidR="003A39B4" w:rsidRPr="005B7A59" w:rsidRDefault="003A39B4" w:rsidP="003A39B4">
      <w:pPr>
        <w:pStyle w:val="NoSpacing"/>
        <w:spacing w:after="240" w:line="276" w:lineRule="auto"/>
        <w:jc w:val="both"/>
        <w:rPr>
          <w:rFonts w:asciiTheme="minorHAnsi" w:hAnsiTheme="minorHAnsi" w:cstheme="minorHAnsi"/>
          <w:bCs/>
          <w:i/>
        </w:rPr>
      </w:pPr>
      <w:r w:rsidRPr="005B7A59">
        <w:rPr>
          <w:rFonts w:asciiTheme="minorHAnsi" w:hAnsiTheme="minorHAnsi" w:cstheme="minorHAnsi"/>
          <w:noProof/>
        </w:rPr>
        <w:drawing>
          <wp:inline distT="0" distB="0" distL="0" distR="0" wp14:anchorId="4FC5F3DB" wp14:editId="7828F40B">
            <wp:extent cx="5976000" cy="2952000"/>
            <wp:effectExtent l="0" t="0" r="5715" b="1270"/>
            <wp:docPr id="310488223" name="Grafikon 1">
              <a:extLst xmlns:a="http://schemas.openxmlformats.org/drawingml/2006/main">
                <a:ext uri="{FF2B5EF4-FFF2-40B4-BE49-F238E27FC236}">
                  <a16:creationId xmlns:a16="http://schemas.microsoft.com/office/drawing/2014/main" id="{31D8064A-19FA-4202-8B19-E956AD9051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53762A7" w14:textId="77777777" w:rsidR="003A39B4" w:rsidRDefault="003A39B4" w:rsidP="003A39B4">
      <w:pPr>
        <w:pStyle w:val="NoSpacing"/>
        <w:spacing w:after="240" w:line="276" w:lineRule="auto"/>
        <w:jc w:val="both"/>
        <w:rPr>
          <w:rFonts w:asciiTheme="minorHAnsi" w:hAnsiTheme="minorHAnsi" w:cstheme="minorHAnsi"/>
          <w:bCs/>
          <w:iCs/>
        </w:rPr>
      </w:pPr>
      <w:r w:rsidRPr="005B7A59">
        <w:rPr>
          <w:rFonts w:asciiTheme="minorHAnsi" w:hAnsiTheme="minorHAnsi" w:cstheme="minorHAnsi"/>
          <w:bCs/>
          <w:iCs/>
        </w:rPr>
        <w:lastRenderedPageBreak/>
        <w:t xml:space="preserve">Iz grafa 3., je vidljivo, da je 73 intervencija odrađeno na građevinama, 90 intervencija na otvorenom prostoru, 35 intervencija u prometu, te 3 intervencije sa opasnim tvarima, odnosno akcident. U tablici </w:t>
      </w:r>
      <w:r>
        <w:rPr>
          <w:rFonts w:asciiTheme="minorHAnsi" w:hAnsiTheme="minorHAnsi" w:cstheme="minorHAnsi"/>
          <w:bCs/>
          <w:iCs/>
        </w:rPr>
        <w:t>1</w:t>
      </w:r>
      <w:r w:rsidRPr="005B7A59">
        <w:rPr>
          <w:rFonts w:asciiTheme="minorHAnsi" w:hAnsiTheme="minorHAnsi" w:cstheme="minorHAnsi"/>
          <w:bCs/>
          <w:iCs/>
        </w:rPr>
        <w:t>. je dan detaljan prikaz tehničkih intervencija po mjestu nastavka.</w:t>
      </w:r>
    </w:p>
    <w:p w14:paraId="31FC28D5" w14:textId="61FD15BA" w:rsidR="003A39B4" w:rsidRPr="003A39B4" w:rsidRDefault="003A39B4" w:rsidP="003A39B4">
      <w:pPr>
        <w:pStyle w:val="NoSpacing"/>
        <w:spacing w:after="240" w:line="276" w:lineRule="auto"/>
        <w:jc w:val="both"/>
        <w:rPr>
          <w:rFonts w:asciiTheme="minorHAnsi" w:hAnsiTheme="minorHAnsi" w:cstheme="minorHAnsi"/>
          <w:bCs/>
          <w:iCs/>
        </w:rPr>
      </w:pPr>
      <w:r w:rsidRPr="005B7A59">
        <w:rPr>
          <w:rFonts w:asciiTheme="minorHAnsi" w:hAnsiTheme="minorHAnsi" w:cstheme="minorHAnsi"/>
          <w:bCs/>
          <w:i/>
        </w:rPr>
        <w:t xml:space="preserve">Tablica </w:t>
      </w:r>
      <w:r>
        <w:rPr>
          <w:rFonts w:asciiTheme="minorHAnsi" w:hAnsiTheme="minorHAnsi" w:cstheme="minorHAnsi"/>
          <w:bCs/>
          <w:i/>
        </w:rPr>
        <w:t>1</w:t>
      </w:r>
      <w:r w:rsidRPr="005B7A59">
        <w:rPr>
          <w:rFonts w:asciiTheme="minorHAnsi" w:hAnsiTheme="minorHAnsi" w:cstheme="minorHAnsi"/>
          <w:bCs/>
          <w:i/>
        </w:rPr>
        <w:t>. Tehničke intervencije po mjestu nastanka.</w:t>
      </w:r>
    </w:p>
    <w:tbl>
      <w:tblPr>
        <w:tblStyle w:val="TableGrid"/>
        <w:tblW w:w="0" w:type="auto"/>
        <w:tblLook w:val="04A0" w:firstRow="1" w:lastRow="0" w:firstColumn="1" w:lastColumn="0" w:noHBand="0" w:noVBand="1"/>
      </w:tblPr>
      <w:tblGrid>
        <w:gridCol w:w="1914"/>
        <w:gridCol w:w="511"/>
        <w:gridCol w:w="1681"/>
        <w:gridCol w:w="528"/>
        <w:gridCol w:w="1598"/>
        <w:gridCol w:w="533"/>
        <w:gridCol w:w="1735"/>
        <w:gridCol w:w="562"/>
      </w:tblGrid>
      <w:tr w:rsidR="003A39B4" w:rsidRPr="005B7A59" w14:paraId="6BE89BDF" w14:textId="77777777" w:rsidTr="00A873B5">
        <w:tc>
          <w:tcPr>
            <w:tcW w:w="2425" w:type="dxa"/>
            <w:gridSpan w:val="2"/>
            <w:vAlign w:val="center"/>
          </w:tcPr>
          <w:p w14:paraId="31B74461" w14:textId="77777777" w:rsidR="003A39B4" w:rsidRPr="005B7A59" w:rsidRDefault="003A39B4" w:rsidP="00A873B5">
            <w:pPr>
              <w:pStyle w:val="NoSpacing"/>
              <w:spacing w:line="276" w:lineRule="auto"/>
              <w:jc w:val="center"/>
              <w:rPr>
                <w:rFonts w:asciiTheme="minorHAnsi" w:hAnsiTheme="minorHAnsi" w:cstheme="minorHAnsi"/>
                <w:b/>
                <w:iCs/>
                <w:sz w:val="22"/>
                <w:szCs w:val="22"/>
              </w:rPr>
            </w:pPr>
            <w:r w:rsidRPr="005B7A59">
              <w:rPr>
                <w:rFonts w:asciiTheme="minorHAnsi" w:hAnsiTheme="minorHAnsi" w:cstheme="minorHAnsi"/>
                <w:b/>
                <w:iCs/>
                <w:sz w:val="22"/>
                <w:szCs w:val="22"/>
              </w:rPr>
              <w:t>NA GRAĐEVINAMA</w:t>
            </w:r>
          </w:p>
        </w:tc>
        <w:tc>
          <w:tcPr>
            <w:tcW w:w="2209" w:type="dxa"/>
            <w:gridSpan w:val="2"/>
            <w:vAlign w:val="center"/>
          </w:tcPr>
          <w:p w14:paraId="5EC6FE46" w14:textId="77777777" w:rsidR="003A39B4" w:rsidRPr="005B7A59" w:rsidRDefault="003A39B4" w:rsidP="00A873B5">
            <w:pPr>
              <w:pStyle w:val="NoSpacing"/>
              <w:spacing w:line="276" w:lineRule="auto"/>
              <w:jc w:val="center"/>
              <w:rPr>
                <w:rFonts w:asciiTheme="minorHAnsi" w:hAnsiTheme="minorHAnsi" w:cstheme="minorHAnsi"/>
                <w:b/>
                <w:iCs/>
                <w:sz w:val="22"/>
                <w:szCs w:val="22"/>
              </w:rPr>
            </w:pPr>
            <w:r w:rsidRPr="005B7A59">
              <w:rPr>
                <w:rFonts w:asciiTheme="minorHAnsi" w:hAnsiTheme="minorHAnsi" w:cstheme="minorHAnsi"/>
                <w:b/>
                <w:iCs/>
                <w:sz w:val="22"/>
                <w:szCs w:val="22"/>
              </w:rPr>
              <w:t>NA OTVORENOM</w:t>
            </w:r>
          </w:p>
        </w:tc>
        <w:tc>
          <w:tcPr>
            <w:tcW w:w="2131" w:type="dxa"/>
            <w:gridSpan w:val="2"/>
            <w:vAlign w:val="center"/>
          </w:tcPr>
          <w:p w14:paraId="1315B6BF" w14:textId="77777777" w:rsidR="003A39B4" w:rsidRPr="005B7A59" w:rsidRDefault="003A39B4" w:rsidP="00A873B5">
            <w:pPr>
              <w:pStyle w:val="NoSpacing"/>
              <w:spacing w:line="276" w:lineRule="auto"/>
              <w:jc w:val="center"/>
              <w:rPr>
                <w:rFonts w:asciiTheme="minorHAnsi" w:hAnsiTheme="minorHAnsi" w:cstheme="minorHAnsi"/>
                <w:b/>
                <w:iCs/>
                <w:sz w:val="22"/>
                <w:szCs w:val="22"/>
              </w:rPr>
            </w:pPr>
            <w:r w:rsidRPr="005B7A59">
              <w:rPr>
                <w:rFonts w:asciiTheme="minorHAnsi" w:hAnsiTheme="minorHAnsi" w:cstheme="minorHAnsi"/>
                <w:b/>
                <w:iCs/>
                <w:sz w:val="22"/>
                <w:szCs w:val="22"/>
              </w:rPr>
              <w:t>U PROMETU</w:t>
            </w:r>
          </w:p>
        </w:tc>
        <w:tc>
          <w:tcPr>
            <w:tcW w:w="2297" w:type="dxa"/>
            <w:gridSpan w:val="2"/>
            <w:vAlign w:val="center"/>
          </w:tcPr>
          <w:p w14:paraId="431085C5" w14:textId="77777777" w:rsidR="003A39B4" w:rsidRPr="005B7A59" w:rsidRDefault="003A39B4" w:rsidP="00A873B5">
            <w:pPr>
              <w:pStyle w:val="NoSpacing"/>
              <w:spacing w:line="276" w:lineRule="auto"/>
              <w:jc w:val="center"/>
              <w:rPr>
                <w:rFonts w:asciiTheme="minorHAnsi" w:hAnsiTheme="minorHAnsi" w:cstheme="minorHAnsi"/>
                <w:b/>
                <w:iCs/>
                <w:sz w:val="22"/>
                <w:szCs w:val="22"/>
              </w:rPr>
            </w:pPr>
            <w:r w:rsidRPr="005B7A59">
              <w:rPr>
                <w:rFonts w:asciiTheme="minorHAnsi" w:hAnsiTheme="minorHAnsi" w:cstheme="minorHAnsi"/>
                <w:b/>
                <w:iCs/>
                <w:sz w:val="22"/>
                <w:szCs w:val="22"/>
              </w:rPr>
              <w:t>AKCIDENTI</w:t>
            </w:r>
          </w:p>
        </w:tc>
      </w:tr>
      <w:tr w:rsidR="003A39B4" w:rsidRPr="005B7A59" w14:paraId="24AE6E1B" w14:textId="77777777" w:rsidTr="00A873B5">
        <w:tc>
          <w:tcPr>
            <w:tcW w:w="1914" w:type="dxa"/>
            <w:vAlign w:val="center"/>
          </w:tcPr>
          <w:p w14:paraId="55B0BAE3"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otvaranje stana</w:t>
            </w:r>
          </w:p>
        </w:tc>
        <w:tc>
          <w:tcPr>
            <w:tcW w:w="511" w:type="dxa"/>
            <w:vAlign w:val="center"/>
          </w:tcPr>
          <w:p w14:paraId="77FE807C"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bCs/>
                <w:iCs/>
                <w:sz w:val="22"/>
                <w:szCs w:val="22"/>
              </w:rPr>
              <w:t>28</w:t>
            </w:r>
          </w:p>
        </w:tc>
        <w:tc>
          <w:tcPr>
            <w:tcW w:w="1681" w:type="dxa"/>
            <w:vAlign w:val="center"/>
          </w:tcPr>
          <w:p w14:paraId="79941612"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spašavanje osoba</w:t>
            </w:r>
          </w:p>
        </w:tc>
        <w:tc>
          <w:tcPr>
            <w:tcW w:w="528" w:type="dxa"/>
            <w:vAlign w:val="center"/>
          </w:tcPr>
          <w:p w14:paraId="411FA8A6"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bCs/>
                <w:iCs/>
                <w:sz w:val="22"/>
                <w:szCs w:val="22"/>
              </w:rPr>
              <w:t>1</w:t>
            </w:r>
          </w:p>
        </w:tc>
        <w:tc>
          <w:tcPr>
            <w:tcW w:w="1598" w:type="dxa"/>
            <w:vAlign w:val="center"/>
          </w:tcPr>
          <w:p w14:paraId="7695C8BC"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cestovni</w:t>
            </w:r>
          </w:p>
        </w:tc>
        <w:tc>
          <w:tcPr>
            <w:tcW w:w="533" w:type="dxa"/>
            <w:vAlign w:val="center"/>
          </w:tcPr>
          <w:p w14:paraId="6B42CBBB"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bCs/>
                <w:iCs/>
                <w:sz w:val="22"/>
                <w:szCs w:val="22"/>
              </w:rPr>
              <w:t>19</w:t>
            </w:r>
          </w:p>
        </w:tc>
        <w:tc>
          <w:tcPr>
            <w:tcW w:w="1735" w:type="dxa"/>
            <w:vAlign w:val="center"/>
          </w:tcPr>
          <w:p w14:paraId="7C8EB373"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pretakanje</w:t>
            </w:r>
          </w:p>
        </w:tc>
        <w:tc>
          <w:tcPr>
            <w:tcW w:w="562" w:type="dxa"/>
            <w:vAlign w:val="center"/>
          </w:tcPr>
          <w:p w14:paraId="09873FFC"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bCs/>
                <w:iCs/>
                <w:sz w:val="22"/>
                <w:szCs w:val="22"/>
              </w:rPr>
              <w:t>0</w:t>
            </w:r>
          </w:p>
        </w:tc>
      </w:tr>
      <w:tr w:rsidR="003A39B4" w:rsidRPr="005B7A59" w14:paraId="6628896B" w14:textId="77777777" w:rsidTr="00A873B5">
        <w:tc>
          <w:tcPr>
            <w:tcW w:w="1914" w:type="dxa"/>
            <w:vAlign w:val="center"/>
          </w:tcPr>
          <w:p w14:paraId="52C2C731"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spašavanje osoba</w:t>
            </w:r>
          </w:p>
        </w:tc>
        <w:tc>
          <w:tcPr>
            <w:tcW w:w="511" w:type="dxa"/>
            <w:vAlign w:val="center"/>
          </w:tcPr>
          <w:p w14:paraId="15608449"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bCs/>
                <w:iCs/>
                <w:sz w:val="22"/>
                <w:szCs w:val="22"/>
              </w:rPr>
              <w:t>1</w:t>
            </w:r>
          </w:p>
        </w:tc>
        <w:tc>
          <w:tcPr>
            <w:tcW w:w="1681" w:type="dxa"/>
            <w:vAlign w:val="center"/>
          </w:tcPr>
          <w:p w14:paraId="32BFA40F"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spašavanje životinja</w:t>
            </w:r>
          </w:p>
        </w:tc>
        <w:tc>
          <w:tcPr>
            <w:tcW w:w="528" w:type="dxa"/>
            <w:vAlign w:val="center"/>
          </w:tcPr>
          <w:p w14:paraId="7D05AE7C"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bCs/>
                <w:iCs/>
                <w:sz w:val="22"/>
                <w:szCs w:val="22"/>
              </w:rPr>
              <w:t>14</w:t>
            </w:r>
          </w:p>
        </w:tc>
        <w:tc>
          <w:tcPr>
            <w:tcW w:w="1598" w:type="dxa"/>
            <w:vAlign w:val="center"/>
          </w:tcPr>
          <w:p w14:paraId="5E03BF7C"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pomorski/ riječni</w:t>
            </w:r>
          </w:p>
        </w:tc>
        <w:tc>
          <w:tcPr>
            <w:tcW w:w="533" w:type="dxa"/>
            <w:vAlign w:val="center"/>
          </w:tcPr>
          <w:p w14:paraId="50D5DC60"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bCs/>
                <w:iCs/>
                <w:sz w:val="22"/>
                <w:szCs w:val="22"/>
              </w:rPr>
              <w:t>5</w:t>
            </w:r>
          </w:p>
        </w:tc>
        <w:tc>
          <w:tcPr>
            <w:tcW w:w="1735" w:type="dxa"/>
            <w:vAlign w:val="center"/>
          </w:tcPr>
          <w:p w14:paraId="37743108"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propuštanje plinova</w:t>
            </w:r>
          </w:p>
        </w:tc>
        <w:tc>
          <w:tcPr>
            <w:tcW w:w="562" w:type="dxa"/>
            <w:vAlign w:val="center"/>
          </w:tcPr>
          <w:p w14:paraId="7F89D7CB"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bCs/>
                <w:iCs/>
                <w:sz w:val="22"/>
                <w:szCs w:val="22"/>
              </w:rPr>
              <w:t>3</w:t>
            </w:r>
          </w:p>
        </w:tc>
      </w:tr>
      <w:tr w:rsidR="003A39B4" w:rsidRPr="005B7A59" w14:paraId="399BB0CC" w14:textId="77777777" w:rsidTr="00A873B5">
        <w:tc>
          <w:tcPr>
            <w:tcW w:w="1914" w:type="dxa"/>
            <w:vAlign w:val="center"/>
          </w:tcPr>
          <w:p w14:paraId="3C2CC5AF"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spašavanje životinja</w:t>
            </w:r>
          </w:p>
        </w:tc>
        <w:tc>
          <w:tcPr>
            <w:tcW w:w="511" w:type="dxa"/>
            <w:vAlign w:val="center"/>
          </w:tcPr>
          <w:p w14:paraId="1CA88F10"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bCs/>
                <w:iCs/>
                <w:sz w:val="22"/>
                <w:szCs w:val="22"/>
              </w:rPr>
              <w:t>15</w:t>
            </w:r>
          </w:p>
        </w:tc>
        <w:tc>
          <w:tcPr>
            <w:tcW w:w="1681" w:type="dxa"/>
            <w:vAlign w:val="center"/>
          </w:tcPr>
          <w:p w14:paraId="09850D0B"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potrage</w:t>
            </w:r>
          </w:p>
        </w:tc>
        <w:tc>
          <w:tcPr>
            <w:tcW w:w="528" w:type="dxa"/>
            <w:vAlign w:val="center"/>
          </w:tcPr>
          <w:p w14:paraId="50520343"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bCs/>
                <w:iCs/>
                <w:sz w:val="22"/>
                <w:szCs w:val="22"/>
              </w:rPr>
              <w:t>8</w:t>
            </w:r>
          </w:p>
        </w:tc>
        <w:tc>
          <w:tcPr>
            <w:tcW w:w="1598" w:type="dxa"/>
            <w:vAlign w:val="center"/>
          </w:tcPr>
          <w:p w14:paraId="7553F7E1"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zračni</w:t>
            </w:r>
          </w:p>
        </w:tc>
        <w:tc>
          <w:tcPr>
            <w:tcW w:w="533" w:type="dxa"/>
            <w:vAlign w:val="center"/>
          </w:tcPr>
          <w:p w14:paraId="31596B13"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sz w:val="22"/>
                <w:szCs w:val="22"/>
              </w:rPr>
              <w:t>0</w:t>
            </w:r>
          </w:p>
        </w:tc>
        <w:tc>
          <w:tcPr>
            <w:tcW w:w="1735" w:type="dxa"/>
            <w:vAlign w:val="center"/>
          </w:tcPr>
          <w:p w14:paraId="4E6D86F3"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ostalo</w:t>
            </w:r>
          </w:p>
        </w:tc>
        <w:tc>
          <w:tcPr>
            <w:tcW w:w="562" w:type="dxa"/>
            <w:vAlign w:val="center"/>
          </w:tcPr>
          <w:p w14:paraId="5ADF0A51"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bCs/>
                <w:iCs/>
                <w:sz w:val="22"/>
                <w:szCs w:val="22"/>
              </w:rPr>
              <w:t>0</w:t>
            </w:r>
          </w:p>
        </w:tc>
      </w:tr>
      <w:tr w:rsidR="003A39B4" w:rsidRPr="005B7A59" w14:paraId="6B80601F" w14:textId="77777777" w:rsidTr="00A873B5">
        <w:tc>
          <w:tcPr>
            <w:tcW w:w="1914" w:type="dxa"/>
            <w:vAlign w:val="center"/>
          </w:tcPr>
          <w:p w14:paraId="24DA671D"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zaglavljena dizala</w:t>
            </w:r>
          </w:p>
        </w:tc>
        <w:tc>
          <w:tcPr>
            <w:tcW w:w="511" w:type="dxa"/>
            <w:vAlign w:val="center"/>
          </w:tcPr>
          <w:p w14:paraId="69B297AD"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sz w:val="22"/>
                <w:szCs w:val="22"/>
              </w:rPr>
              <w:t>0</w:t>
            </w:r>
          </w:p>
        </w:tc>
        <w:tc>
          <w:tcPr>
            <w:tcW w:w="1681" w:type="dxa"/>
            <w:vAlign w:val="center"/>
          </w:tcPr>
          <w:p w14:paraId="0371C761"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uklanjanje prepreka/ nestabilnih dje.</w:t>
            </w:r>
          </w:p>
        </w:tc>
        <w:tc>
          <w:tcPr>
            <w:tcW w:w="528" w:type="dxa"/>
            <w:vAlign w:val="center"/>
          </w:tcPr>
          <w:p w14:paraId="3EFA8D8F"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bCs/>
                <w:iCs/>
                <w:sz w:val="22"/>
                <w:szCs w:val="22"/>
              </w:rPr>
              <w:t>64</w:t>
            </w:r>
          </w:p>
        </w:tc>
        <w:tc>
          <w:tcPr>
            <w:tcW w:w="1598" w:type="dxa"/>
            <w:vAlign w:val="center"/>
          </w:tcPr>
          <w:p w14:paraId="2D157F11"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ostalo</w:t>
            </w:r>
          </w:p>
        </w:tc>
        <w:tc>
          <w:tcPr>
            <w:tcW w:w="533" w:type="dxa"/>
            <w:vAlign w:val="center"/>
          </w:tcPr>
          <w:p w14:paraId="2CB87A08"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bCs/>
                <w:iCs/>
                <w:sz w:val="22"/>
                <w:szCs w:val="22"/>
              </w:rPr>
              <w:t>11</w:t>
            </w:r>
          </w:p>
        </w:tc>
        <w:tc>
          <w:tcPr>
            <w:tcW w:w="1735" w:type="dxa"/>
            <w:vAlign w:val="center"/>
          </w:tcPr>
          <w:p w14:paraId="3C2E49FE"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p>
        </w:tc>
        <w:tc>
          <w:tcPr>
            <w:tcW w:w="562" w:type="dxa"/>
            <w:vAlign w:val="center"/>
          </w:tcPr>
          <w:p w14:paraId="56D95AE1"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p>
        </w:tc>
      </w:tr>
      <w:tr w:rsidR="003A39B4" w:rsidRPr="005B7A59" w14:paraId="076A3200" w14:textId="77777777" w:rsidTr="00A873B5">
        <w:tc>
          <w:tcPr>
            <w:tcW w:w="1914" w:type="dxa"/>
            <w:vAlign w:val="center"/>
          </w:tcPr>
          <w:p w14:paraId="36F4852A"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urušavanje</w:t>
            </w:r>
          </w:p>
        </w:tc>
        <w:tc>
          <w:tcPr>
            <w:tcW w:w="511" w:type="dxa"/>
            <w:vAlign w:val="center"/>
          </w:tcPr>
          <w:p w14:paraId="5DA5787E"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bCs/>
                <w:iCs/>
                <w:sz w:val="22"/>
                <w:szCs w:val="22"/>
              </w:rPr>
              <w:t>0</w:t>
            </w:r>
          </w:p>
        </w:tc>
        <w:tc>
          <w:tcPr>
            <w:tcW w:w="1681" w:type="dxa"/>
            <w:vAlign w:val="center"/>
          </w:tcPr>
          <w:p w14:paraId="300C6A9E"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na vodi</w:t>
            </w:r>
          </w:p>
        </w:tc>
        <w:tc>
          <w:tcPr>
            <w:tcW w:w="528" w:type="dxa"/>
            <w:vAlign w:val="center"/>
          </w:tcPr>
          <w:p w14:paraId="6762F800"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bCs/>
                <w:iCs/>
                <w:sz w:val="22"/>
                <w:szCs w:val="22"/>
              </w:rPr>
              <w:t>1</w:t>
            </w:r>
          </w:p>
        </w:tc>
        <w:tc>
          <w:tcPr>
            <w:tcW w:w="1598" w:type="dxa"/>
            <w:vAlign w:val="center"/>
          </w:tcPr>
          <w:p w14:paraId="5AD11893"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p>
        </w:tc>
        <w:tc>
          <w:tcPr>
            <w:tcW w:w="533" w:type="dxa"/>
            <w:vAlign w:val="center"/>
          </w:tcPr>
          <w:p w14:paraId="22A8B3EB"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p>
        </w:tc>
        <w:tc>
          <w:tcPr>
            <w:tcW w:w="1735" w:type="dxa"/>
            <w:vAlign w:val="center"/>
          </w:tcPr>
          <w:p w14:paraId="3D0B0328"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p>
        </w:tc>
        <w:tc>
          <w:tcPr>
            <w:tcW w:w="562" w:type="dxa"/>
            <w:vAlign w:val="center"/>
          </w:tcPr>
          <w:p w14:paraId="6A84E5A1"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p>
        </w:tc>
      </w:tr>
      <w:tr w:rsidR="003A39B4" w:rsidRPr="005B7A59" w14:paraId="5DB57300" w14:textId="77777777" w:rsidTr="00A873B5">
        <w:tc>
          <w:tcPr>
            <w:tcW w:w="1914" w:type="dxa"/>
            <w:vAlign w:val="center"/>
          </w:tcPr>
          <w:p w14:paraId="100CDBAE"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uklanjanje nestabilnih dijelova</w:t>
            </w:r>
          </w:p>
        </w:tc>
        <w:tc>
          <w:tcPr>
            <w:tcW w:w="511" w:type="dxa"/>
            <w:vAlign w:val="center"/>
          </w:tcPr>
          <w:p w14:paraId="58546618"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bCs/>
                <w:iCs/>
                <w:sz w:val="22"/>
                <w:szCs w:val="22"/>
              </w:rPr>
              <w:t>12</w:t>
            </w:r>
          </w:p>
        </w:tc>
        <w:tc>
          <w:tcPr>
            <w:tcW w:w="1681" w:type="dxa"/>
            <w:vAlign w:val="center"/>
          </w:tcPr>
          <w:p w14:paraId="38DD964A"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ostalo</w:t>
            </w:r>
          </w:p>
        </w:tc>
        <w:tc>
          <w:tcPr>
            <w:tcW w:w="528" w:type="dxa"/>
            <w:vAlign w:val="center"/>
          </w:tcPr>
          <w:p w14:paraId="27DB5A1E"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bCs/>
                <w:iCs/>
                <w:sz w:val="22"/>
                <w:szCs w:val="22"/>
              </w:rPr>
              <w:t>3</w:t>
            </w:r>
          </w:p>
        </w:tc>
        <w:tc>
          <w:tcPr>
            <w:tcW w:w="1598" w:type="dxa"/>
            <w:vAlign w:val="center"/>
          </w:tcPr>
          <w:p w14:paraId="251D0472"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p>
        </w:tc>
        <w:tc>
          <w:tcPr>
            <w:tcW w:w="533" w:type="dxa"/>
            <w:vAlign w:val="center"/>
          </w:tcPr>
          <w:p w14:paraId="65405132"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p>
        </w:tc>
        <w:tc>
          <w:tcPr>
            <w:tcW w:w="1735" w:type="dxa"/>
            <w:vAlign w:val="center"/>
          </w:tcPr>
          <w:p w14:paraId="6F77C573"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p>
        </w:tc>
        <w:tc>
          <w:tcPr>
            <w:tcW w:w="562" w:type="dxa"/>
            <w:vAlign w:val="center"/>
          </w:tcPr>
          <w:p w14:paraId="60DEC842"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p>
        </w:tc>
      </w:tr>
      <w:tr w:rsidR="003A39B4" w:rsidRPr="005B7A59" w14:paraId="10FCB767" w14:textId="77777777" w:rsidTr="00A873B5">
        <w:tc>
          <w:tcPr>
            <w:tcW w:w="1914" w:type="dxa"/>
            <w:vAlign w:val="center"/>
          </w:tcPr>
          <w:p w14:paraId="1509BDD7"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zatvaranje vode</w:t>
            </w:r>
          </w:p>
        </w:tc>
        <w:tc>
          <w:tcPr>
            <w:tcW w:w="511" w:type="dxa"/>
            <w:vAlign w:val="center"/>
          </w:tcPr>
          <w:p w14:paraId="31C497BB"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bCs/>
                <w:iCs/>
                <w:sz w:val="22"/>
                <w:szCs w:val="22"/>
              </w:rPr>
              <w:t>3</w:t>
            </w:r>
          </w:p>
        </w:tc>
        <w:tc>
          <w:tcPr>
            <w:tcW w:w="1681" w:type="dxa"/>
            <w:vAlign w:val="center"/>
          </w:tcPr>
          <w:p w14:paraId="5DFDA45E"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p>
        </w:tc>
        <w:tc>
          <w:tcPr>
            <w:tcW w:w="528" w:type="dxa"/>
            <w:vAlign w:val="center"/>
          </w:tcPr>
          <w:p w14:paraId="66979645"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p>
        </w:tc>
        <w:tc>
          <w:tcPr>
            <w:tcW w:w="1598" w:type="dxa"/>
            <w:vAlign w:val="center"/>
          </w:tcPr>
          <w:p w14:paraId="606CB306"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p>
        </w:tc>
        <w:tc>
          <w:tcPr>
            <w:tcW w:w="533" w:type="dxa"/>
            <w:vAlign w:val="center"/>
          </w:tcPr>
          <w:p w14:paraId="451CE4D7"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p>
        </w:tc>
        <w:tc>
          <w:tcPr>
            <w:tcW w:w="1735" w:type="dxa"/>
            <w:vAlign w:val="center"/>
          </w:tcPr>
          <w:p w14:paraId="0083E905"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p>
        </w:tc>
        <w:tc>
          <w:tcPr>
            <w:tcW w:w="562" w:type="dxa"/>
            <w:vAlign w:val="center"/>
          </w:tcPr>
          <w:p w14:paraId="5F8F2148"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p>
        </w:tc>
      </w:tr>
      <w:tr w:rsidR="003A39B4" w:rsidRPr="005B7A59" w14:paraId="622639A4" w14:textId="77777777" w:rsidTr="00A873B5">
        <w:tc>
          <w:tcPr>
            <w:tcW w:w="1914" w:type="dxa"/>
            <w:vAlign w:val="center"/>
          </w:tcPr>
          <w:p w14:paraId="4A14AD1B"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ispumpavanje</w:t>
            </w:r>
          </w:p>
        </w:tc>
        <w:tc>
          <w:tcPr>
            <w:tcW w:w="511" w:type="dxa"/>
            <w:vAlign w:val="center"/>
          </w:tcPr>
          <w:p w14:paraId="1641B19D"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bCs/>
                <w:iCs/>
                <w:sz w:val="22"/>
                <w:szCs w:val="22"/>
              </w:rPr>
              <w:t>12</w:t>
            </w:r>
          </w:p>
        </w:tc>
        <w:tc>
          <w:tcPr>
            <w:tcW w:w="1681" w:type="dxa"/>
            <w:vAlign w:val="center"/>
          </w:tcPr>
          <w:p w14:paraId="71478E7A"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p>
        </w:tc>
        <w:tc>
          <w:tcPr>
            <w:tcW w:w="528" w:type="dxa"/>
            <w:vAlign w:val="center"/>
          </w:tcPr>
          <w:p w14:paraId="6131D23C"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p>
        </w:tc>
        <w:tc>
          <w:tcPr>
            <w:tcW w:w="1598" w:type="dxa"/>
            <w:vAlign w:val="center"/>
          </w:tcPr>
          <w:p w14:paraId="4F5B21A3"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p>
        </w:tc>
        <w:tc>
          <w:tcPr>
            <w:tcW w:w="533" w:type="dxa"/>
            <w:vAlign w:val="center"/>
          </w:tcPr>
          <w:p w14:paraId="76263BE2"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p>
        </w:tc>
        <w:tc>
          <w:tcPr>
            <w:tcW w:w="1735" w:type="dxa"/>
            <w:vAlign w:val="center"/>
          </w:tcPr>
          <w:p w14:paraId="33D44CDB"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p>
        </w:tc>
        <w:tc>
          <w:tcPr>
            <w:tcW w:w="562" w:type="dxa"/>
            <w:vAlign w:val="center"/>
          </w:tcPr>
          <w:p w14:paraId="72953BDB"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p>
        </w:tc>
      </w:tr>
      <w:tr w:rsidR="003A39B4" w:rsidRPr="005B7A59" w14:paraId="4F0759FA" w14:textId="77777777" w:rsidTr="00A873B5">
        <w:tc>
          <w:tcPr>
            <w:tcW w:w="1914" w:type="dxa"/>
            <w:vAlign w:val="center"/>
          </w:tcPr>
          <w:p w14:paraId="6F7E36CC"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r w:rsidRPr="005B7A59">
              <w:rPr>
                <w:rFonts w:asciiTheme="minorHAnsi" w:hAnsiTheme="minorHAnsi" w:cstheme="minorHAnsi"/>
                <w:sz w:val="22"/>
                <w:szCs w:val="22"/>
              </w:rPr>
              <w:t>ostalo</w:t>
            </w:r>
          </w:p>
        </w:tc>
        <w:tc>
          <w:tcPr>
            <w:tcW w:w="511" w:type="dxa"/>
            <w:vAlign w:val="center"/>
          </w:tcPr>
          <w:p w14:paraId="5809115D"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r w:rsidRPr="005B7A59">
              <w:rPr>
                <w:rFonts w:asciiTheme="minorHAnsi" w:hAnsiTheme="minorHAnsi" w:cstheme="minorHAnsi"/>
                <w:bCs/>
                <w:iCs/>
                <w:sz w:val="22"/>
                <w:szCs w:val="22"/>
              </w:rPr>
              <w:t>1</w:t>
            </w:r>
          </w:p>
        </w:tc>
        <w:tc>
          <w:tcPr>
            <w:tcW w:w="1681" w:type="dxa"/>
            <w:vAlign w:val="center"/>
          </w:tcPr>
          <w:p w14:paraId="6EEC144B"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p>
        </w:tc>
        <w:tc>
          <w:tcPr>
            <w:tcW w:w="528" w:type="dxa"/>
            <w:vAlign w:val="center"/>
          </w:tcPr>
          <w:p w14:paraId="71D37695"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p>
        </w:tc>
        <w:tc>
          <w:tcPr>
            <w:tcW w:w="1598" w:type="dxa"/>
            <w:vAlign w:val="center"/>
          </w:tcPr>
          <w:p w14:paraId="58791D5A"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p>
        </w:tc>
        <w:tc>
          <w:tcPr>
            <w:tcW w:w="533" w:type="dxa"/>
            <w:vAlign w:val="center"/>
          </w:tcPr>
          <w:p w14:paraId="3967DCD6"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p>
        </w:tc>
        <w:tc>
          <w:tcPr>
            <w:tcW w:w="1735" w:type="dxa"/>
            <w:vAlign w:val="center"/>
          </w:tcPr>
          <w:p w14:paraId="608FE118" w14:textId="77777777" w:rsidR="003A39B4" w:rsidRPr="005B7A59" w:rsidRDefault="003A39B4" w:rsidP="00A873B5">
            <w:pPr>
              <w:pStyle w:val="NoSpacing"/>
              <w:spacing w:line="276" w:lineRule="auto"/>
              <w:jc w:val="both"/>
              <w:rPr>
                <w:rFonts w:asciiTheme="minorHAnsi" w:hAnsiTheme="minorHAnsi" w:cstheme="minorHAnsi"/>
                <w:bCs/>
                <w:iCs/>
                <w:sz w:val="22"/>
                <w:szCs w:val="22"/>
              </w:rPr>
            </w:pPr>
          </w:p>
        </w:tc>
        <w:tc>
          <w:tcPr>
            <w:tcW w:w="562" w:type="dxa"/>
            <w:vAlign w:val="center"/>
          </w:tcPr>
          <w:p w14:paraId="0ABB5061" w14:textId="77777777" w:rsidR="003A39B4" w:rsidRPr="005B7A59" w:rsidRDefault="003A39B4" w:rsidP="00A873B5">
            <w:pPr>
              <w:pStyle w:val="NoSpacing"/>
              <w:spacing w:line="276" w:lineRule="auto"/>
              <w:jc w:val="center"/>
              <w:rPr>
                <w:rFonts w:asciiTheme="minorHAnsi" w:hAnsiTheme="minorHAnsi" w:cstheme="minorHAnsi"/>
                <w:bCs/>
                <w:iCs/>
                <w:sz w:val="22"/>
                <w:szCs w:val="22"/>
              </w:rPr>
            </w:pPr>
          </w:p>
        </w:tc>
      </w:tr>
    </w:tbl>
    <w:p w14:paraId="6813A342" w14:textId="77777777" w:rsidR="003A39B4" w:rsidRPr="005B7A59" w:rsidRDefault="003A39B4" w:rsidP="003A39B4">
      <w:pPr>
        <w:pStyle w:val="NoSpacing"/>
        <w:spacing w:line="276" w:lineRule="auto"/>
        <w:jc w:val="both"/>
        <w:rPr>
          <w:rFonts w:asciiTheme="minorHAnsi" w:hAnsiTheme="minorHAnsi" w:cstheme="minorHAnsi"/>
          <w:bCs/>
          <w:iCs/>
        </w:rPr>
      </w:pPr>
    </w:p>
    <w:p w14:paraId="4A397E08" w14:textId="77777777" w:rsidR="003A39B4" w:rsidRDefault="003A39B4" w:rsidP="003A39B4">
      <w:pPr>
        <w:pStyle w:val="NoSpacing"/>
        <w:spacing w:after="240" w:line="276" w:lineRule="auto"/>
        <w:jc w:val="both"/>
        <w:rPr>
          <w:rFonts w:asciiTheme="minorHAnsi" w:hAnsiTheme="minorHAnsi" w:cstheme="minorHAnsi"/>
          <w:bCs/>
          <w:iCs/>
        </w:rPr>
      </w:pPr>
      <w:r w:rsidRPr="005B7A59">
        <w:rPr>
          <w:rFonts w:asciiTheme="minorHAnsi" w:hAnsiTheme="minorHAnsi" w:cstheme="minorHAnsi"/>
          <w:bCs/>
          <w:iCs/>
        </w:rPr>
        <w:t xml:space="preserve">Kod tehničkih intervencija bi spomenuli da smo nažalost imali 3 smrtno stradale osobe, 2 osobe su pronađene mrtve prilikom otvaranja stana, a jedna osoba na otvorenom prostoru, a na sreću 14 osoba je spašeno, 8 u prometnim nesrećama, te 6 na otvorenom prostoru. </w:t>
      </w:r>
    </w:p>
    <w:p w14:paraId="44BC796A" w14:textId="6FA28E49" w:rsidR="003A39B4" w:rsidRPr="005B7A59" w:rsidRDefault="003A39B4" w:rsidP="003A39B4">
      <w:pPr>
        <w:pStyle w:val="NoSpacing"/>
        <w:spacing w:after="240" w:line="276" w:lineRule="auto"/>
        <w:jc w:val="both"/>
        <w:rPr>
          <w:rFonts w:asciiTheme="minorHAnsi" w:hAnsiTheme="minorHAnsi" w:cstheme="minorHAnsi"/>
          <w:bCs/>
          <w:iCs/>
        </w:rPr>
      </w:pPr>
      <w:r w:rsidRPr="005B7A59">
        <w:rPr>
          <w:rFonts w:asciiTheme="minorHAnsi" w:hAnsiTheme="minorHAnsi" w:cstheme="minorHAnsi"/>
          <w:bCs/>
          <w:iCs/>
        </w:rPr>
        <w:t>U posljednjem, grafu 4. dajemo prikaz odrađenih intervencija po jedinicama lokalne samouprave na otoku Krku.</w:t>
      </w:r>
    </w:p>
    <w:p w14:paraId="4FC805BA" w14:textId="77777777" w:rsidR="00B22447" w:rsidRDefault="003A39B4" w:rsidP="003A39B4">
      <w:pPr>
        <w:pStyle w:val="NoSpacing"/>
        <w:spacing w:line="276" w:lineRule="auto"/>
        <w:jc w:val="both"/>
        <w:rPr>
          <w:rFonts w:asciiTheme="minorHAnsi" w:hAnsiTheme="minorHAnsi" w:cstheme="minorHAnsi"/>
          <w:bCs/>
          <w:i/>
        </w:rPr>
      </w:pPr>
      <w:r w:rsidRPr="005B7A59">
        <w:rPr>
          <w:rFonts w:asciiTheme="minorHAnsi" w:hAnsiTheme="minorHAnsi" w:cstheme="minorHAnsi"/>
          <w:bCs/>
          <w:i/>
        </w:rPr>
        <w:t>Graf 4. Intervencije po JLS otoka Krka.</w:t>
      </w:r>
    </w:p>
    <w:p w14:paraId="268C80CF" w14:textId="2515C8E0" w:rsidR="003A39B4" w:rsidRDefault="003A39B4" w:rsidP="003A39B4">
      <w:pPr>
        <w:pStyle w:val="NoSpacing"/>
        <w:spacing w:line="276" w:lineRule="auto"/>
        <w:jc w:val="both"/>
        <w:rPr>
          <w:rFonts w:asciiTheme="minorHAnsi" w:hAnsiTheme="minorHAnsi" w:cstheme="minorHAnsi"/>
          <w:bCs/>
          <w:i/>
        </w:rPr>
      </w:pPr>
      <w:r w:rsidRPr="005B7A59">
        <w:rPr>
          <w:rFonts w:asciiTheme="minorHAnsi" w:hAnsiTheme="minorHAnsi" w:cstheme="minorHAnsi"/>
          <w:noProof/>
        </w:rPr>
        <w:drawing>
          <wp:inline distT="0" distB="0" distL="0" distR="0" wp14:anchorId="562741E1" wp14:editId="4B7CA04C">
            <wp:extent cx="5457825" cy="2705100"/>
            <wp:effectExtent l="0" t="0" r="9525" b="0"/>
            <wp:docPr id="141307800" name="Grafikon 1">
              <a:extLst xmlns:a="http://schemas.openxmlformats.org/drawingml/2006/main">
                <a:ext uri="{FF2B5EF4-FFF2-40B4-BE49-F238E27FC236}">
                  <a16:creationId xmlns:a16="http://schemas.microsoft.com/office/drawing/2014/main" id="{D5E9BC11-BBA2-464D-BDCD-51A68E0683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EB7D535" w14:textId="77777777" w:rsidR="00DB458E" w:rsidRPr="003A39B4" w:rsidRDefault="00DB458E" w:rsidP="003A39B4">
      <w:pPr>
        <w:pStyle w:val="NoSpacing"/>
        <w:spacing w:line="276" w:lineRule="auto"/>
        <w:jc w:val="both"/>
        <w:rPr>
          <w:rFonts w:asciiTheme="minorHAnsi" w:hAnsiTheme="minorHAnsi" w:cstheme="minorHAnsi"/>
          <w:bCs/>
          <w:i/>
        </w:rPr>
      </w:pPr>
    </w:p>
    <w:p w14:paraId="77364DBA" w14:textId="77777777" w:rsidR="003A39B4" w:rsidRPr="005B7A59" w:rsidRDefault="003A39B4" w:rsidP="003A39B4">
      <w:pPr>
        <w:pStyle w:val="NoSpacing"/>
        <w:spacing w:after="240" w:line="276" w:lineRule="auto"/>
        <w:jc w:val="both"/>
        <w:rPr>
          <w:rFonts w:asciiTheme="minorHAnsi" w:hAnsiTheme="minorHAnsi" w:cstheme="minorHAnsi"/>
          <w:bCs/>
          <w:iCs/>
        </w:rPr>
      </w:pPr>
      <w:r w:rsidRPr="005B7A59">
        <w:rPr>
          <w:rFonts w:asciiTheme="minorHAnsi" w:hAnsiTheme="minorHAnsi" w:cstheme="minorHAnsi"/>
          <w:bCs/>
          <w:iCs/>
        </w:rPr>
        <w:t>Na području Općine Omišalj odrađeno je 104 (30%) intervencija, zatim slijedi Grad Krk sa 88 (25%) intervencija, Općina Malinska – Dubašnica sa 54 (15%) intervencija, Općina Dobrinj sa 40 (11%) intervencija, Općina Punat sa 34 (10%) intervencija, Općina Vrbnik sa 16 (5%) intervencija, te Općina Baška sa 13 (4%) intervencija.</w:t>
      </w:r>
    </w:p>
    <w:p w14:paraId="5E9D3EA0" w14:textId="6B8CD1C7" w:rsidR="003A39B4" w:rsidRPr="003A39B4" w:rsidRDefault="003A39B4" w:rsidP="003A39B4">
      <w:pPr>
        <w:pStyle w:val="NoSpacing"/>
        <w:spacing w:after="240" w:line="276" w:lineRule="auto"/>
        <w:jc w:val="both"/>
        <w:rPr>
          <w:rFonts w:asciiTheme="minorHAnsi" w:hAnsiTheme="minorHAnsi" w:cstheme="minorHAnsi"/>
          <w:bCs/>
          <w:iCs/>
        </w:rPr>
      </w:pPr>
      <w:r w:rsidRPr="005B7A59">
        <w:rPr>
          <w:rFonts w:asciiTheme="minorHAnsi" w:hAnsiTheme="minorHAnsi" w:cstheme="minorHAnsi"/>
          <w:bCs/>
          <w:iCs/>
        </w:rPr>
        <w:t>Sve intervencije (349) su odrađene vlastitim snagama te nije bilo potrebe za angažiranjem postrojbi van otoka Krka. U navedenim intervencijama bilo je angažirano ukupno 847 vatrogasca sa 473 vatrogasnih vozila te je utrošeno 847 sati rada vatrogasaca.</w:t>
      </w:r>
    </w:p>
    <w:p w14:paraId="59111799" w14:textId="51CCEA69" w:rsidR="00792472" w:rsidRPr="003A39B4" w:rsidRDefault="00792472" w:rsidP="00792472">
      <w:pPr>
        <w:pStyle w:val="ListParagraph"/>
        <w:numPr>
          <w:ilvl w:val="2"/>
          <w:numId w:val="13"/>
        </w:numPr>
        <w:rPr>
          <w:b/>
          <w:bCs/>
        </w:rPr>
      </w:pPr>
      <w:r w:rsidRPr="003A39B4">
        <w:rPr>
          <w:b/>
          <w:bCs/>
        </w:rPr>
        <w:t>Realizacija Plana rada i Plana nabave za 2023. godinu</w:t>
      </w:r>
    </w:p>
    <w:p w14:paraId="550FA5EE" w14:textId="77777777" w:rsidR="003A39B4" w:rsidRPr="003A39B4" w:rsidRDefault="003A39B4" w:rsidP="003A39B4">
      <w:pPr>
        <w:jc w:val="both"/>
        <w:rPr>
          <w:rFonts w:eastAsia="Times New Roman" w:cs="Times New Roman"/>
        </w:rPr>
      </w:pPr>
      <w:bookmarkStart w:id="9" w:name="_Hlk115291659"/>
      <w:r w:rsidRPr="003A39B4">
        <w:rPr>
          <w:rFonts w:eastAsia="Times New Roman" w:cs="Times New Roman"/>
        </w:rPr>
        <w:t>Sukladno Planu rada i Planu nabave za 2023. godinu postignuti su slijedeći ciljevi:</w:t>
      </w:r>
    </w:p>
    <w:p w14:paraId="545D6DA8" w14:textId="5C35C7DD" w:rsidR="003A39B4" w:rsidRPr="003A39B4" w:rsidRDefault="00821C97" w:rsidP="003A39B4">
      <w:pPr>
        <w:numPr>
          <w:ilvl w:val="0"/>
          <w:numId w:val="16"/>
        </w:numPr>
        <w:contextualSpacing/>
        <w:jc w:val="both"/>
        <w:rPr>
          <w:rFonts w:eastAsia="Times New Roman" w:cs="Times New Roman"/>
        </w:rPr>
      </w:pPr>
      <w:r>
        <w:rPr>
          <w:rFonts w:eastAsia="Times New Roman" w:cs="Times New Roman"/>
        </w:rPr>
        <w:t>o</w:t>
      </w:r>
      <w:r w:rsidR="003A39B4" w:rsidRPr="003A39B4">
        <w:rPr>
          <w:rFonts w:eastAsia="Times New Roman" w:cs="Times New Roman"/>
        </w:rPr>
        <w:t>bveze prema zaposlenicima, sukladno zakonskim, podzakonskim i internim aktima su ispunjene u cijelosti. Posebno bi izdvojili usklađenje poslovanja sa novim Pravilnikom o klasifikaciji radnih mjesta profesionalnih vatrogasaca, mjerilima za njihovo utvrđivanje i koeficijentima složenosti poslova koji propisuje minimalnu plaću profesionalnih vatrogasaca te sklapanje novog Kolektivnog ugovora za radnike JVP Grada Krka.</w:t>
      </w:r>
    </w:p>
    <w:p w14:paraId="1F44A9D7" w14:textId="62D83BDA" w:rsidR="003A39B4" w:rsidRPr="003A39B4" w:rsidRDefault="00821C97" w:rsidP="003A39B4">
      <w:pPr>
        <w:numPr>
          <w:ilvl w:val="0"/>
          <w:numId w:val="16"/>
        </w:numPr>
        <w:contextualSpacing/>
        <w:jc w:val="both"/>
        <w:rPr>
          <w:rFonts w:eastAsia="Times New Roman" w:cs="Times New Roman"/>
        </w:rPr>
      </w:pPr>
      <w:r>
        <w:rPr>
          <w:rFonts w:eastAsia="Times New Roman" w:cs="Times New Roman"/>
        </w:rPr>
        <w:t>s</w:t>
      </w:r>
      <w:r w:rsidR="003A39B4" w:rsidRPr="003A39B4">
        <w:rPr>
          <w:rFonts w:eastAsia="Times New Roman" w:cs="Times New Roman"/>
        </w:rPr>
        <w:t xml:space="preserve">ukladno Planu nabave za 2023. godinu, provedeni su postupci jednostavne nabave </w:t>
      </w:r>
      <w:r w:rsidR="003A39B4" w:rsidRPr="003A39B4">
        <w:rPr>
          <w:rFonts w:eastAsia="Times New Roman" w:cs="Times New Roman"/>
          <w:bCs/>
          <w:iCs/>
        </w:rPr>
        <w:t>za premije osiguranja, motorni benzin i dizel gorivo, opskrbu električnom energijom, radnih odora, zaštitnih čizmi za požare otvornog prostora i zaštitnih kombinezona za požare otvorenog prostora</w:t>
      </w:r>
      <w:r w:rsidR="003A39B4">
        <w:rPr>
          <w:rFonts w:eastAsia="Times New Roman" w:cs="Times New Roman"/>
          <w:bCs/>
          <w:iCs/>
        </w:rPr>
        <w:t xml:space="preserve">, te </w:t>
      </w:r>
      <w:r w:rsidR="003A39B4" w:rsidRPr="003A39B4">
        <w:rPr>
          <w:rFonts w:eastAsia="Times New Roman" w:cs="Times New Roman"/>
          <w:bCs/>
          <w:iCs/>
        </w:rPr>
        <w:t xml:space="preserve">postupak nabave za izgradnju novog dijela nadstrešnice/ garaže (3. faza) za novo vozilo. </w:t>
      </w:r>
    </w:p>
    <w:p w14:paraId="28344E7C" w14:textId="049BC18D" w:rsidR="003A39B4" w:rsidRPr="003A39B4" w:rsidRDefault="00821C97" w:rsidP="003A39B4">
      <w:pPr>
        <w:numPr>
          <w:ilvl w:val="0"/>
          <w:numId w:val="16"/>
        </w:numPr>
        <w:contextualSpacing/>
        <w:jc w:val="both"/>
        <w:rPr>
          <w:rFonts w:eastAsia="Times New Roman" w:cs="Times New Roman"/>
          <w:sz w:val="20"/>
          <w:szCs w:val="20"/>
        </w:rPr>
      </w:pPr>
      <w:r>
        <w:rPr>
          <w:rFonts w:eastAsia="Times New Roman" w:cs="Times New Roman"/>
          <w:bCs/>
          <w:iCs/>
        </w:rPr>
        <w:t>o</w:t>
      </w:r>
      <w:r w:rsidR="003A39B4" w:rsidRPr="003A39B4">
        <w:rPr>
          <w:rFonts w:eastAsia="Times New Roman" w:cs="Times New Roman"/>
          <w:bCs/>
          <w:iCs/>
        </w:rPr>
        <w:t xml:space="preserve">drađeni su redovni servisi podvozja i nadogradnje vozila po Planu održavanja vozila za 2023. godinu te otklanjanje kvarova na istima. Također su odrađeni redovni servisi/ atesti na ostaloj opremi, uređajima i sredstvima (leđni nosači dišnih aparata, boca za dišne aparate, uređaja za detekciju zapaljivih i eksplozivnih plinova i dr.). </w:t>
      </w:r>
    </w:p>
    <w:p w14:paraId="79B3B96B" w14:textId="1851FEF3" w:rsidR="003A39B4" w:rsidRPr="003A39B4" w:rsidRDefault="00821C97" w:rsidP="003A39B4">
      <w:pPr>
        <w:numPr>
          <w:ilvl w:val="0"/>
          <w:numId w:val="16"/>
        </w:numPr>
        <w:contextualSpacing/>
        <w:jc w:val="both"/>
        <w:rPr>
          <w:rFonts w:eastAsia="Times New Roman" w:cs="Times New Roman"/>
          <w:sz w:val="20"/>
          <w:szCs w:val="20"/>
        </w:rPr>
      </w:pPr>
      <w:r>
        <w:rPr>
          <w:rFonts w:eastAsia="Times New Roman" w:cs="Times New Roman"/>
          <w:bCs/>
          <w:iCs/>
        </w:rPr>
        <w:t>o</w:t>
      </w:r>
      <w:r w:rsidR="003A39B4" w:rsidRPr="003A39B4">
        <w:rPr>
          <w:rFonts w:eastAsia="Times New Roman" w:cs="Times New Roman"/>
          <w:bCs/>
          <w:iCs/>
        </w:rPr>
        <w:t>državanje objekta i postrojenja se odnosilo na tekuće održavanje i otklanjanje kvarova.</w:t>
      </w:r>
    </w:p>
    <w:p w14:paraId="7EDD3DEC" w14:textId="6B94397F" w:rsidR="003A39B4" w:rsidRPr="003A39B4" w:rsidRDefault="00821C97" w:rsidP="003A39B4">
      <w:pPr>
        <w:numPr>
          <w:ilvl w:val="0"/>
          <w:numId w:val="16"/>
        </w:numPr>
        <w:contextualSpacing/>
        <w:jc w:val="both"/>
        <w:rPr>
          <w:rFonts w:eastAsia="Times New Roman" w:cs="Times New Roman"/>
          <w:sz w:val="20"/>
          <w:szCs w:val="20"/>
        </w:rPr>
      </w:pPr>
      <w:r>
        <w:rPr>
          <w:rFonts w:eastAsia="Times New Roman" w:cs="Times New Roman"/>
          <w:bCs/>
          <w:iCs/>
        </w:rPr>
        <w:t>n</w:t>
      </w:r>
      <w:r w:rsidR="003A39B4" w:rsidRPr="003A39B4">
        <w:rPr>
          <w:rFonts w:eastAsia="Times New Roman" w:cs="Times New Roman"/>
          <w:bCs/>
          <w:iCs/>
        </w:rPr>
        <w:t xml:space="preserve">abavka opreme se izvršila u potrebnom obimu i prvenstveno se odnosila na nabavku osobne zaštitne opreme za požare otvorenih prostora i radnih odora, te zanavljanje oštećene osobne zaštitne opreme. Od sredstava za gašenje </w:t>
      </w:r>
      <w:r w:rsidR="003A39B4">
        <w:rPr>
          <w:rFonts w:eastAsia="Times New Roman" w:cs="Times New Roman"/>
          <w:bCs/>
          <w:iCs/>
        </w:rPr>
        <w:t xml:space="preserve">izvršena je </w:t>
      </w:r>
      <w:r w:rsidR="003A39B4" w:rsidRPr="003A39B4">
        <w:rPr>
          <w:rFonts w:eastAsia="Times New Roman" w:cs="Times New Roman"/>
          <w:bCs/>
          <w:iCs/>
        </w:rPr>
        <w:t xml:space="preserve">nabava </w:t>
      </w:r>
      <w:r>
        <w:rPr>
          <w:rFonts w:eastAsia="Times New Roman" w:cs="Times New Roman"/>
          <w:bCs/>
          <w:iCs/>
        </w:rPr>
        <w:t>350</w:t>
      </w:r>
      <w:r w:rsidR="003A39B4" w:rsidRPr="003A39B4">
        <w:rPr>
          <w:rFonts w:eastAsia="Times New Roman" w:cs="Times New Roman"/>
          <w:bCs/>
          <w:iCs/>
        </w:rPr>
        <w:t xml:space="preserve"> kg pjenila.</w:t>
      </w:r>
    </w:p>
    <w:p w14:paraId="089D70E9" w14:textId="635F18F5" w:rsidR="003A39B4" w:rsidRPr="003A39B4" w:rsidRDefault="00821C97" w:rsidP="003A39B4">
      <w:pPr>
        <w:numPr>
          <w:ilvl w:val="0"/>
          <w:numId w:val="16"/>
        </w:numPr>
        <w:contextualSpacing/>
        <w:jc w:val="both"/>
        <w:rPr>
          <w:rFonts w:eastAsia="Times New Roman" w:cs="Times New Roman"/>
          <w:sz w:val="20"/>
          <w:szCs w:val="20"/>
        </w:rPr>
      </w:pPr>
      <w:r>
        <w:rPr>
          <w:rFonts w:eastAsia="Times New Roman" w:cs="Times New Roman"/>
          <w:bCs/>
          <w:iCs/>
        </w:rPr>
        <w:t>p</w:t>
      </w:r>
      <w:r w:rsidR="003A39B4" w:rsidRPr="003A39B4">
        <w:rPr>
          <w:rFonts w:eastAsia="Times New Roman" w:cs="Times New Roman"/>
          <w:bCs/>
          <w:iCs/>
        </w:rPr>
        <w:t>o pitanju preventivnih aktivnosti, kao i svih prijašnjih godina, aktivno smo sudjelovali u donošenju Plana operativne provedbe programa aktivnosti zaštite od požara PVZ otoka Krka, koji se temelji na Programu aktivnosti u provedbi posebnih mjera zaštite od požara od interesa za RH u 2023. godini</w:t>
      </w:r>
      <w:r w:rsidR="00287F15">
        <w:rPr>
          <w:rFonts w:eastAsia="Times New Roman" w:cs="Times New Roman"/>
          <w:bCs/>
          <w:iCs/>
        </w:rPr>
        <w:t xml:space="preserve"> u sklopu čega je zaposleno 4 sezonska vatrogasca.</w:t>
      </w:r>
    </w:p>
    <w:p w14:paraId="1B015CF5" w14:textId="76872FF0" w:rsidR="003A39B4" w:rsidRPr="003A39B4" w:rsidRDefault="00821C97" w:rsidP="003A39B4">
      <w:pPr>
        <w:numPr>
          <w:ilvl w:val="0"/>
          <w:numId w:val="16"/>
        </w:numPr>
        <w:contextualSpacing/>
        <w:jc w:val="both"/>
        <w:rPr>
          <w:rFonts w:eastAsia="Times New Roman" w:cs="Times New Roman"/>
        </w:rPr>
      </w:pPr>
      <w:r>
        <w:rPr>
          <w:rFonts w:eastAsia="Times New Roman" w:cs="Times New Roman"/>
        </w:rPr>
        <w:t>u</w:t>
      </w:r>
      <w:r w:rsidR="003A39B4" w:rsidRPr="003A39B4">
        <w:rPr>
          <w:rFonts w:eastAsia="Times New Roman" w:cs="Times New Roman"/>
        </w:rPr>
        <w:t xml:space="preserve"> suradnji sa Vatrogasnom zajednicom Primorsko-goranske županije organiziran je tečaj za Spašavanje sa visina i iz dubina – I. stupanj, osposobljeno je 6 vatrogasaca iz 4 postrojbe, te tečaj za Spašavanje iz ruševina, također je osposobljeno 6 vatrogasaca iz 4 postrojbe,</w:t>
      </w:r>
    </w:p>
    <w:p w14:paraId="1E57F354" w14:textId="77777777" w:rsidR="003A39B4" w:rsidRPr="003A39B4" w:rsidRDefault="003A39B4" w:rsidP="003A39B4">
      <w:pPr>
        <w:numPr>
          <w:ilvl w:val="0"/>
          <w:numId w:val="16"/>
        </w:numPr>
        <w:contextualSpacing/>
        <w:jc w:val="both"/>
        <w:rPr>
          <w:rFonts w:eastAsia="Times New Roman" w:cs="Times New Roman"/>
        </w:rPr>
      </w:pPr>
      <w:r w:rsidRPr="003A39B4">
        <w:rPr>
          <w:rFonts w:eastAsia="Times New Roman" w:cs="Times New Roman"/>
        </w:rPr>
        <w:t>u suradnji sa Područnim uredom civilne zaštite Rijeka, održano predavanje na temu potresa i evakuacija, spašavanje i gašenje požara za djelatnike Dječjeg vrtića Katarina Frankopan, Krk.</w:t>
      </w:r>
    </w:p>
    <w:p w14:paraId="763916A9" w14:textId="77777777" w:rsidR="00821C97" w:rsidRDefault="00821C97" w:rsidP="00821C97">
      <w:pPr>
        <w:numPr>
          <w:ilvl w:val="0"/>
          <w:numId w:val="16"/>
        </w:numPr>
        <w:contextualSpacing/>
        <w:jc w:val="both"/>
        <w:rPr>
          <w:rFonts w:eastAsia="Times New Roman" w:cs="Times New Roman"/>
        </w:rPr>
      </w:pPr>
      <w:r>
        <w:rPr>
          <w:rFonts w:eastAsia="Times New Roman" w:cs="Times New Roman"/>
        </w:rPr>
        <w:t>o</w:t>
      </w:r>
      <w:r w:rsidR="003A39B4" w:rsidRPr="003A39B4">
        <w:rPr>
          <w:rFonts w:eastAsia="Times New Roman" w:cs="Times New Roman"/>
        </w:rPr>
        <w:t>dra</w:t>
      </w:r>
      <w:r>
        <w:rPr>
          <w:rFonts w:eastAsia="Times New Roman" w:cs="Times New Roman"/>
        </w:rPr>
        <w:t>dili smo 5</w:t>
      </w:r>
      <w:r w:rsidR="003A39B4" w:rsidRPr="003A39B4">
        <w:rPr>
          <w:rFonts w:eastAsia="Times New Roman" w:cs="Times New Roman"/>
        </w:rPr>
        <w:t xml:space="preserve"> vježb</w:t>
      </w:r>
      <w:r>
        <w:rPr>
          <w:rFonts w:eastAsia="Times New Roman" w:cs="Times New Roman"/>
        </w:rPr>
        <w:t>i</w:t>
      </w:r>
      <w:r w:rsidR="003A39B4" w:rsidRPr="003A39B4">
        <w:rPr>
          <w:rFonts w:eastAsia="Times New Roman" w:cs="Times New Roman"/>
        </w:rPr>
        <w:t xml:space="preserve"> gašenja požara i evakuacije. </w:t>
      </w:r>
      <w:r>
        <w:rPr>
          <w:rFonts w:eastAsia="Times New Roman" w:cs="Times New Roman"/>
        </w:rPr>
        <w:t>Tri</w:t>
      </w:r>
      <w:r w:rsidR="003A39B4" w:rsidRPr="003A39B4">
        <w:rPr>
          <w:rFonts w:eastAsia="Times New Roman" w:cs="Times New Roman"/>
        </w:rPr>
        <w:t xml:space="preserve"> vježbe na objektima osnovnih škola (Krk</w:t>
      </w:r>
      <w:r>
        <w:rPr>
          <w:rFonts w:eastAsia="Times New Roman" w:cs="Times New Roman"/>
        </w:rPr>
        <w:t>, Punat</w:t>
      </w:r>
      <w:r w:rsidR="003A39B4" w:rsidRPr="003A39B4">
        <w:rPr>
          <w:rFonts w:eastAsia="Times New Roman" w:cs="Times New Roman"/>
        </w:rPr>
        <w:t xml:space="preserve"> i Malinska), jedna vježba u </w:t>
      </w:r>
      <w:r>
        <w:rPr>
          <w:rFonts w:eastAsia="Times New Roman" w:cs="Times New Roman"/>
        </w:rPr>
        <w:t xml:space="preserve">auto </w:t>
      </w:r>
      <w:r w:rsidR="003A39B4" w:rsidRPr="003A39B4">
        <w:rPr>
          <w:rFonts w:eastAsia="Times New Roman" w:cs="Times New Roman"/>
        </w:rPr>
        <w:t>kampu</w:t>
      </w:r>
      <w:r>
        <w:rPr>
          <w:rFonts w:eastAsia="Times New Roman" w:cs="Times New Roman"/>
        </w:rPr>
        <w:t>, jedna vježba na Zračnoj luci Rijeka</w:t>
      </w:r>
      <w:r w:rsidR="003A39B4" w:rsidRPr="003A39B4">
        <w:rPr>
          <w:rFonts w:eastAsia="Times New Roman" w:cs="Times New Roman"/>
        </w:rPr>
        <w:t xml:space="preserve"> i združena vježba na razini PVZ otoka Krka sa ciljem pripreme za predstojeću ljetnu požarnu sezonu</w:t>
      </w:r>
      <w:r w:rsidRPr="00821C97">
        <w:rPr>
          <w:kern w:val="0"/>
          <w14:ligatures w14:val="none"/>
        </w:rPr>
        <w:t xml:space="preserve"> </w:t>
      </w:r>
      <w:r>
        <w:rPr>
          <w:kern w:val="0"/>
          <w14:ligatures w14:val="none"/>
        </w:rPr>
        <w:t>u čijem izvođenju je sudjelovao i Stožer CZ Grada Krka</w:t>
      </w:r>
      <w:r w:rsidR="003A39B4" w:rsidRPr="003A39B4">
        <w:rPr>
          <w:rFonts w:eastAsia="Times New Roman" w:cs="Times New Roman"/>
        </w:rPr>
        <w:t>.</w:t>
      </w:r>
    </w:p>
    <w:p w14:paraId="1E660B09" w14:textId="77777777" w:rsidR="00821C97" w:rsidRDefault="00821C97" w:rsidP="00821C97">
      <w:pPr>
        <w:numPr>
          <w:ilvl w:val="0"/>
          <w:numId w:val="16"/>
        </w:numPr>
        <w:contextualSpacing/>
        <w:jc w:val="both"/>
        <w:rPr>
          <w:rFonts w:eastAsia="Times New Roman" w:cs="Times New Roman"/>
        </w:rPr>
      </w:pPr>
      <w:r>
        <w:t xml:space="preserve">sudjelovali smo na 1. Croatia Holmatro Rescue Challenge. Radi se o međunarodnom natjecanju vatrogasnih postrojbi u spašavanju u prometu. Svrha natjecanja je razmjena iskustava te usvajanja novih znanja i ostvarivanje bolje suradnje sa djelatnicima zavoda za hitnu medicinu. Obzirom se radi o prvom natjecanju ovakve vrste i prvom nastupu JVP Grada Krka na istom, iznimno smo </w:t>
      </w:r>
      <w:r>
        <w:lastRenderedPageBreak/>
        <w:t>zadovoljni ostvarenim rezultatom. Plasirali smo se u zlatnu kategoriju, na osmo mjesto od ukupno 30 timova.</w:t>
      </w:r>
    </w:p>
    <w:p w14:paraId="0728AC17" w14:textId="1993E405" w:rsidR="00821C97" w:rsidRDefault="00821C97" w:rsidP="00821C97">
      <w:pPr>
        <w:numPr>
          <w:ilvl w:val="0"/>
          <w:numId w:val="16"/>
        </w:numPr>
        <w:contextualSpacing/>
        <w:jc w:val="both"/>
        <w:rPr>
          <w:rFonts w:eastAsia="Times New Roman" w:cs="Times New Roman"/>
        </w:rPr>
      </w:pPr>
      <w:r w:rsidRPr="00821C97">
        <w:rPr>
          <w:sz w:val="23"/>
          <w:szCs w:val="23"/>
        </w:rPr>
        <w:t>u suradnji sa Gradom Krkom, a na osnovu Programa upoznavanja stanovništva s opasnostima i mjerama zaštite od požara, uz pomoć kolega iz DVD-a Krk, odradili smo promotivno-edukacijska akciju u svrhu educiranja stanovništva o opasnostima od požara, kao i mjerama zaštite od požara. U ovoj akciji je 180 kućanstava na području Grada Krka opremljeno protupožarnim setom sačinjenim od kućnog aparata za početno gašenje požara i protupožarne deke.</w:t>
      </w:r>
    </w:p>
    <w:p w14:paraId="3C9365C9" w14:textId="77777777" w:rsidR="00821C97" w:rsidRDefault="00821C97" w:rsidP="00821C97">
      <w:pPr>
        <w:contextualSpacing/>
        <w:jc w:val="both"/>
        <w:rPr>
          <w:rFonts w:eastAsia="Times New Roman" w:cs="Times New Roman"/>
        </w:rPr>
      </w:pPr>
    </w:p>
    <w:p w14:paraId="178BE718" w14:textId="62085291" w:rsidR="00821C97" w:rsidRDefault="00821C97" w:rsidP="00821C97">
      <w:pPr>
        <w:contextualSpacing/>
        <w:jc w:val="both"/>
        <w:rPr>
          <w:rFonts w:eastAsia="Times New Roman" w:cs="Times New Roman"/>
        </w:rPr>
      </w:pPr>
      <w:r w:rsidRPr="00821C97">
        <w:rPr>
          <w:rFonts w:eastAsia="Times New Roman" w:cs="Times New Roman"/>
        </w:rPr>
        <w:t>Pored navedenog, na dnevnoj bazi, od ponedjeljka do petka, sukladno rasporedu rada i Planu nastave i vježbi JVP Grada Krka za 2023. godinu, provodila se teorijska i praktična nastava u krugu postrojbe.</w:t>
      </w:r>
    </w:p>
    <w:p w14:paraId="3088F4B1" w14:textId="77777777" w:rsidR="00B22447" w:rsidRDefault="00B22447" w:rsidP="00821C97">
      <w:pPr>
        <w:contextualSpacing/>
        <w:jc w:val="both"/>
        <w:rPr>
          <w:rFonts w:eastAsia="Times New Roman" w:cs="Times New Roman"/>
        </w:rPr>
      </w:pPr>
    </w:p>
    <w:p w14:paraId="0FCAFE9D" w14:textId="77777777" w:rsidR="00B22447" w:rsidRDefault="00B22447" w:rsidP="00821C97">
      <w:pPr>
        <w:contextualSpacing/>
        <w:jc w:val="both"/>
        <w:rPr>
          <w:rFonts w:eastAsia="Times New Roman" w:cs="Times New Roman"/>
        </w:rPr>
      </w:pPr>
    </w:p>
    <w:p w14:paraId="640B3C01" w14:textId="77777777" w:rsidR="00821C97" w:rsidRDefault="00821C97" w:rsidP="00821C97">
      <w:pPr>
        <w:contextualSpacing/>
        <w:jc w:val="both"/>
        <w:rPr>
          <w:rFonts w:eastAsia="Times New Roman" w:cs="Times New Roman"/>
        </w:rPr>
      </w:pPr>
    </w:p>
    <w:p w14:paraId="38605712" w14:textId="77777777" w:rsidR="00821C97" w:rsidRDefault="00821C97" w:rsidP="00821C97">
      <w:pPr>
        <w:contextualSpacing/>
        <w:jc w:val="both"/>
        <w:rPr>
          <w:rFonts w:eastAsia="Times New Roman" w:cs="Times New Roman"/>
        </w:rPr>
      </w:pPr>
    </w:p>
    <w:p w14:paraId="4A270C70" w14:textId="08873960" w:rsidR="00821C97" w:rsidRPr="00821C97" w:rsidRDefault="00821C97" w:rsidP="00821C97">
      <w:pPr>
        <w:ind w:left="4248" w:firstLine="708"/>
        <w:contextualSpacing/>
        <w:jc w:val="both"/>
        <w:rPr>
          <w:rFonts w:eastAsia="Times New Roman" w:cs="Times New Roman"/>
        </w:rPr>
      </w:pPr>
      <w:r>
        <w:rPr>
          <w:noProof/>
        </w:rPr>
        <w:drawing>
          <wp:inline distT="0" distB="0" distL="0" distR="0" wp14:anchorId="46B0DB03" wp14:editId="5946780B">
            <wp:extent cx="2568271" cy="1405213"/>
            <wp:effectExtent l="0" t="0" r="381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6"/>
                    <a:stretch>
                      <a:fillRect/>
                    </a:stretch>
                  </pic:blipFill>
                  <pic:spPr>
                    <a:xfrm>
                      <a:off x="0" y="0"/>
                      <a:ext cx="2579487" cy="1411350"/>
                    </a:xfrm>
                    <a:prstGeom prst="rect">
                      <a:avLst/>
                    </a:prstGeom>
                  </pic:spPr>
                </pic:pic>
              </a:graphicData>
            </a:graphic>
          </wp:inline>
        </w:drawing>
      </w:r>
    </w:p>
    <w:bookmarkEnd w:id="9"/>
    <w:p w14:paraId="4E57EDB0" w14:textId="77777777" w:rsidR="003A39B4" w:rsidRDefault="003A39B4" w:rsidP="003A39B4"/>
    <w:p w14:paraId="7FC32677" w14:textId="77777777" w:rsidR="00792472" w:rsidRDefault="00792472" w:rsidP="00792472"/>
    <w:p w14:paraId="7CA793EB" w14:textId="77777777" w:rsidR="00792472" w:rsidRDefault="00792472" w:rsidP="00792472"/>
    <w:p w14:paraId="63670BBF" w14:textId="43E2A5C4" w:rsidR="003E5C85" w:rsidRDefault="00792472" w:rsidP="00792472">
      <w:r>
        <w:tab/>
      </w:r>
      <w:r>
        <w:tab/>
      </w:r>
      <w:r>
        <w:tab/>
      </w:r>
      <w:r>
        <w:tab/>
      </w:r>
      <w:r>
        <w:tab/>
      </w:r>
      <w:r>
        <w:tab/>
      </w:r>
      <w:r>
        <w:tab/>
      </w:r>
      <w:r>
        <w:tab/>
        <w:t xml:space="preserve">  </w:t>
      </w:r>
    </w:p>
    <w:sectPr w:rsidR="003E5C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A5117"/>
    <w:multiLevelType w:val="hybridMultilevel"/>
    <w:tmpl w:val="67C2D6A4"/>
    <w:lvl w:ilvl="0" w:tplc="C9CC418E">
      <w:start w:val="1"/>
      <w:numFmt w:val="bullet"/>
      <w:lvlText w:val="-"/>
      <w:lvlJc w:val="left"/>
      <w:pPr>
        <w:ind w:left="720" w:hanging="360"/>
      </w:pPr>
      <w:rPr>
        <w:rFonts w:ascii="Calibri" w:eastAsia="Times New Roman" w:hAnsi="Calibri"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FE91329"/>
    <w:multiLevelType w:val="hybridMultilevel"/>
    <w:tmpl w:val="FFFFFFFF"/>
    <w:lvl w:ilvl="0" w:tplc="C3FC5166">
      <w:start w:val="1"/>
      <w:numFmt w:val="decimal"/>
      <w:lvlText w:val="%1."/>
      <w:lvlJc w:val="left"/>
      <w:pPr>
        <w:ind w:left="360" w:hanging="360"/>
      </w:pPr>
      <w:rPr>
        <w:rFonts w:cs="Times New Roman" w:hint="default"/>
        <w:b/>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 w15:restartNumberingAfterBreak="0">
    <w:nsid w:val="113B2ED4"/>
    <w:multiLevelType w:val="hybridMultilevel"/>
    <w:tmpl w:val="F2C052B8"/>
    <w:lvl w:ilvl="0" w:tplc="C9CC418E">
      <w:start w:val="1"/>
      <w:numFmt w:val="bullet"/>
      <w:lvlText w:val="-"/>
      <w:lvlJc w:val="left"/>
      <w:pPr>
        <w:ind w:left="360" w:hanging="360"/>
      </w:pPr>
      <w:rPr>
        <w:rFonts w:ascii="Calibri" w:eastAsia="Times New Roman" w:hAnsi="Calibri" w:hint="default"/>
        <w:b w:val="0"/>
      </w:rPr>
    </w:lvl>
    <w:lvl w:ilvl="1" w:tplc="C9CC1110">
      <w:start w:val="2"/>
      <w:numFmt w:val="bullet"/>
      <w:lvlText w:val="•"/>
      <w:lvlJc w:val="left"/>
      <w:pPr>
        <w:ind w:left="1425" w:hanging="705"/>
      </w:pPr>
      <w:rPr>
        <w:rFonts w:ascii="Calibri" w:eastAsiaTheme="minorHAnsi" w:hAnsi="Calibri" w:cs="Calibri"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 w15:restartNumberingAfterBreak="0">
    <w:nsid w:val="28DD7387"/>
    <w:multiLevelType w:val="multilevel"/>
    <w:tmpl w:val="EC54F5CE"/>
    <w:lvl w:ilvl="0">
      <w:start w:val="6"/>
      <w:numFmt w:val="decimal"/>
      <w:lvlText w:val="%1."/>
      <w:lvlJc w:val="left"/>
      <w:pPr>
        <w:ind w:left="705" w:hanging="705"/>
      </w:pPr>
      <w:rPr>
        <w:rFonts w:hint="default"/>
      </w:rPr>
    </w:lvl>
    <w:lvl w:ilvl="1">
      <w:start w:val="1"/>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2A831C14"/>
    <w:multiLevelType w:val="hybridMultilevel"/>
    <w:tmpl w:val="9552D488"/>
    <w:lvl w:ilvl="0" w:tplc="EE028C30">
      <w:start w:val="1"/>
      <w:numFmt w:val="decimal"/>
      <w:lvlText w:val="%1."/>
      <w:lvlJc w:val="left"/>
      <w:pPr>
        <w:ind w:left="1557" w:hanging="705"/>
      </w:pPr>
      <w:rPr>
        <w:rFonts w:hint="default"/>
      </w:rPr>
    </w:lvl>
    <w:lvl w:ilvl="1" w:tplc="041A0019" w:tentative="1">
      <w:start w:val="1"/>
      <w:numFmt w:val="lowerLetter"/>
      <w:lvlText w:val="%2."/>
      <w:lvlJc w:val="left"/>
      <w:pPr>
        <w:ind w:left="1932" w:hanging="360"/>
      </w:pPr>
    </w:lvl>
    <w:lvl w:ilvl="2" w:tplc="041A001B" w:tentative="1">
      <w:start w:val="1"/>
      <w:numFmt w:val="lowerRoman"/>
      <w:lvlText w:val="%3."/>
      <w:lvlJc w:val="right"/>
      <w:pPr>
        <w:ind w:left="2652" w:hanging="180"/>
      </w:pPr>
    </w:lvl>
    <w:lvl w:ilvl="3" w:tplc="041A000F" w:tentative="1">
      <w:start w:val="1"/>
      <w:numFmt w:val="decimal"/>
      <w:lvlText w:val="%4."/>
      <w:lvlJc w:val="left"/>
      <w:pPr>
        <w:ind w:left="3372" w:hanging="360"/>
      </w:pPr>
    </w:lvl>
    <w:lvl w:ilvl="4" w:tplc="041A0019" w:tentative="1">
      <w:start w:val="1"/>
      <w:numFmt w:val="lowerLetter"/>
      <w:lvlText w:val="%5."/>
      <w:lvlJc w:val="left"/>
      <w:pPr>
        <w:ind w:left="4092" w:hanging="360"/>
      </w:pPr>
    </w:lvl>
    <w:lvl w:ilvl="5" w:tplc="041A001B" w:tentative="1">
      <w:start w:val="1"/>
      <w:numFmt w:val="lowerRoman"/>
      <w:lvlText w:val="%6."/>
      <w:lvlJc w:val="right"/>
      <w:pPr>
        <w:ind w:left="4812" w:hanging="180"/>
      </w:pPr>
    </w:lvl>
    <w:lvl w:ilvl="6" w:tplc="041A000F" w:tentative="1">
      <w:start w:val="1"/>
      <w:numFmt w:val="decimal"/>
      <w:lvlText w:val="%7."/>
      <w:lvlJc w:val="left"/>
      <w:pPr>
        <w:ind w:left="5532" w:hanging="360"/>
      </w:pPr>
    </w:lvl>
    <w:lvl w:ilvl="7" w:tplc="041A0019" w:tentative="1">
      <w:start w:val="1"/>
      <w:numFmt w:val="lowerLetter"/>
      <w:lvlText w:val="%8."/>
      <w:lvlJc w:val="left"/>
      <w:pPr>
        <w:ind w:left="6252" w:hanging="360"/>
      </w:pPr>
    </w:lvl>
    <w:lvl w:ilvl="8" w:tplc="041A001B" w:tentative="1">
      <w:start w:val="1"/>
      <w:numFmt w:val="lowerRoman"/>
      <w:lvlText w:val="%9."/>
      <w:lvlJc w:val="right"/>
      <w:pPr>
        <w:ind w:left="6972" w:hanging="180"/>
      </w:pPr>
    </w:lvl>
  </w:abstractNum>
  <w:abstractNum w:abstractNumId="5" w15:restartNumberingAfterBreak="0">
    <w:nsid w:val="372D66A8"/>
    <w:multiLevelType w:val="hybridMultilevel"/>
    <w:tmpl w:val="0E786C14"/>
    <w:lvl w:ilvl="0" w:tplc="C9CC418E">
      <w:start w:val="1"/>
      <w:numFmt w:val="bullet"/>
      <w:lvlText w:val="-"/>
      <w:lvlJc w:val="left"/>
      <w:pPr>
        <w:ind w:left="360" w:hanging="360"/>
      </w:pPr>
      <w:rPr>
        <w:rFonts w:ascii="Calibri" w:eastAsia="Times New Roman" w:hAnsi="Calibri" w:hint="default"/>
        <w:b w:val="0"/>
      </w:rPr>
    </w:lvl>
    <w:lvl w:ilvl="1" w:tplc="041A0003">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6" w15:restartNumberingAfterBreak="0">
    <w:nsid w:val="37A323EF"/>
    <w:multiLevelType w:val="hybridMultilevel"/>
    <w:tmpl w:val="EF5653EE"/>
    <w:lvl w:ilvl="0" w:tplc="C9CC418E">
      <w:start w:val="1"/>
      <w:numFmt w:val="bullet"/>
      <w:lvlText w:val="-"/>
      <w:lvlJc w:val="left"/>
      <w:pPr>
        <w:ind w:left="360" w:hanging="360"/>
      </w:pPr>
      <w:rPr>
        <w:rFonts w:ascii="Calibri" w:eastAsia="Times New Roman" w:hAnsi="Calibri" w:hint="default"/>
        <w:b w:val="0"/>
      </w:rPr>
    </w:lvl>
    <w:lvl w:ilvl="1" w:tplc="041A0003">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7" w15:restartNumberingAfterBreak="0">
    <w:nsid w:val="3C041C9A"/>
    <w:multiLevelType w:val="hybridMultilevel"/>
    <w:tmpl w:val="9766B04C"/>
    <w:lvl w:ilvl="0" w:tplc="C9CC418E">
      <w:start w:val="1"/>
      <w:numFmt w:val="bullet"/>
      <w:lvlText w:val="-"/>
      <w:lvlJc w:val="left"/>
      <w:pPr>
        <w:ind w:left="360" w:hanging="360"/>
      </w:pPr>
      <w:rPr>
        <w:rFonts w:ascii="Calibri" w:eastAsiaTheme="minorHAnsi" w:hAnsi="Calibri" w:cs="Calibri" w:hint="default"/>
        <w:b w:val="0"/>
        <w:bCs w:val="0"/>
      </w:rPr>
    </w:lvl>
    <w:lvl w:ilvl="1" w:tplc="041A0003">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8" w15:restartNumberingAfterBreak="0">
    <w:nsid w:val="3CE97E93"/>
    <w:multiLevelType w:val="hybridMultilevel"/>
    <w:tmpl w:val="43C09B48"/>
    <w:lvl w:ilvl="0" w:tplc="C9CC418E">
      <w:start w:val="1"/>
      <w:numFmt w:val="bullet"/>
      <w:lvlText w:val="-"/>
      <w:lvlJc w:val="left"/>
      <w:pPr>
        <w:ind w:left="360" w:hanging="360"/>
      </w:pPr>
      <w:rPr>
        <w:rFonts w:ascii="Calibri" w:eastAsia="Times New Roman" w:hAnsi="Calibri" w:hint="default"/>
        <w:b w:val="0"/>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9" w15:restartNumberingAfterBreak="0">
    <w:nsid w:val="417E3B4A"/>
    <w:multiLevelType w:val="hybridMultilevel"/>
    <w:tmpl w:val="6A9C4FF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41B33991"/>
    <w:multiLevelType w:val="hybridMultilevel"/>
    <w:tmpl w:val="8256B0CA"/>
    <w:lvl w:ilvl="0" w:tplc="C9CC418E">
      <w:start w:val="1"/>
      <w:numFmt w:val="bullet"/>
      <w:lvlText w:val="-"/>
      <w:lvlJc w:val="left"/>
      <w:pPr>
        <w:ind w:left="360" w:hanging="360"/>
      </w:pPr>
      <w:rPr>
        <w:rFonts w:ascii="Calibri" w:eastAsia="Times New Roman" w:hAnsi="Calibri" w:hint="default"/>
        <w:b w:val="0"/>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1" w15:restartNumberingAfterBreak="0">
    <w:nsid w:val="549F173C"/>
    <w:multiLevelType w:val="multilevel"/>
    <w:tmpl w:val="9646AB42"/>
    <w:lvl w:ilvl="0">
      <w:start w:val="1"/>
      <w:numFmt w:val="decimal"/>
      <w:lvlText w:val="%1."/>
      <w:lvlJc w:val="left"/>
      <w:pPr>
        <w:ind w:left="705" w:hanging="705"/>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58DA5A32"/>
    <w:multiLevelType w:val="hybridMultilevel"/>
    <w:tmpl w:val="DE54EF3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612465A4"/>
    <w:multiLevelType w:val="hybridMultilevel"/>
    <w:tmpl w:val="BC767BDE"/>
    <w:lvl w:ilvl="0" w:tplc="0C520AE8">
      <w:start w:val="1"/>
      <w:numFmt w:val="bullet"/>
      <w:lvlText w:val="-"/>
      <w:lvlJc w:val="left"/>
      <w:pPr>
        <w:ind w:left="1065" w:hanging="705"/>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62970582"/>
    <w:multiLevelType w:val="hybridMultilevel"/>
    <w:tmpl w:val="D6BCA2CC"/>
    <w:lvl w:ilvl="0" w:tplc="C9CC418E">
      <w:start w:val="1"/>
      <w:numFmt w:val="bullet"/>
      <w:lvlText w:val="-"/>
      <w:lvlJc w:val="left"/>
      <w:pPr>
        <w:ind w:left="360" w:hanging="360"/>
      </w:pPr>
      <w:rPr>
        <w:rFonts w:ascii="Calibri" w:eastAsia="Times New Roman" w:hAnsi="Calibri" w:hint="default"/>
        <w:b w:val="0"/>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5" w15:restartNumberingAfterBreak="0">
    <w:nsid w:val="65833265"/>
    <w:multiLevelType w:val="hybridMultilevel"/>
    <w:tmpl w:val="FB1AB91C"/>
    <w:lvl w:ilvl="0" w:tplc="FFFFFFFF">
      <w:start w:val="1"/>
      <w:numFmt w:val="bullet"/>
      <w:lvlText w:val="-"/>
      <w:lvlJc w:val="left"/>
      <w:pPr>
        <w:ind w:left="360" w:hanging="360"/>
      </w:pPr>
      <w:rPr>
        <w:rFonts w:ascii="Calibri" w:eastAsia="Times New Roman" w:hAnsi="Calibri" w:hint="default"/>
        <w:b w:val="0"/>
      </w:rPr>
    </w:lvl>
    <w:lvl w:ilvl="1" w:tplc="C9CC418E">
      <w:start w:val="1"/>
      <w:numFmt w:val="bullet"/>
      <w:lvlText w:val="-"/>
      <w:lvlJc w:val="left"/>
      <w:pPr>
        <w:ind w:left="360" w:hanging="360"/>
      </w:pPr>
      <w:rPr>
        <w:rFonts w:ascii="Calibri" w:eastAsia="Times New Roman" w:hAnsi="Calibri" w:hint="default"/>
        <w:b w:val="0"/>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751D3D64"/>
    <w:multiLevelType w:val="hybridMultilevel"/>
    <w:tmpl w:val="0DF6E3DE"/>
    <w:lvl w:ilvl="0" w:tplc="C9CC418E">
      <w:start w:val="1"/>
      <w:numFmt w:val="bullet"/>
      <w:lvlText w:val="-"/>
      <w:lvlJc w:val="left"/>
      <w:pPr>
        <w:ind w:left="360" w:hanging="360"/>
      </w:pPr>
      <w:rPr>
        <w:rFonts w:ascii="Calibri" w:eastAsia="Times New Roman" w:hAnsi="Calibri" w:hint="default"/>
        <w:b w:val="0"/>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num w:numId="1" w16cid:durableId="1786925729">
    <w:abstractNumId w:val="9"/>
  </w:num>
  <w:num w:numId="2" w16cid:durableId="721632882">
    <w:abstractNumId w:val="11"/>
  </w:num>
  <w:num w:numId="3" w16cid:durableId="2073654219">
    <w:abstractNumId w:val="2"/>
  </w:num>
  <w:num w:numId="4" w16cid:durableId="1113741821">
    <w:abstractNumId w:val="13"/>
  </w:num>
  <w:num w:numId="5" w16cid:durableId="1795441465">
    <w:abstractNumId w:val="5"/>
  </w:num>
  <w:num w:numId="6" w16cid:durableId="194464707">
    <w:abstractNumId w:val="10"/>
  </w:num>
  <w:num w:numId="7" w16cid:durableId="869419595">
    <w:abstractNumId w:val="16"/>
  </w:num>
  <w:num w:numId="8" w16cid:durableId="101537190">
    <w:abstractNumId w:val="4"/>
  </w:num>
  <w:num w:numId="9" w16cid:durableId="1616133298">
    <w:abstractNumId w:val="8"/>
  </w:num>
  <w:num w:numId="10" w16cid:durableId="1534877278">
    <w:abstractNumId w:val="0"/>
  </w:num>
  <w:num w:numId="11" w16cid:durableId="187720807">
    <w:abstractNumId w:val="15"/>
  </w:num>
  <w:num w:numId="12" w16cid:durableId="1964069191">
    <w:abstractNumId w:val="12"/>
  </w:num>
  <w:num w:numId="13" w16cid:durableId="780416924">
    <w:abstractNumId w:val="3"/>
  </w:num>
  <w:num w:numId="14" w16cid:durableId="92283194">
    <w:abstractNumId w:val="14"/>
  </w:num>
  <w:num w:numId="15" w16cid:durableId="1262031623">
    <w:abstractNumId w:val="6"/>
  </w:num>
  <w:num w:numId="16" w16cid:durableId="531846241">
    <w:abstractNumId w:val="7"/>
  </w:num>
  <w:num w:numId="17" w16cid:durableId="436171316">
    <w:abstractNumId w:val="8"/>
  </w:num>
  <w:num w:numId="18" w16cid:durableId="8349944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472"/>
    <w:rsid w:val="000523DC"/>
    <w:rsid w:val="00124410"/>
    <w:rsid w:val="001A05F2"/>
    <w:rsid w:val="001A1D1D"/>
    <w:rsid w:val="00287F15"/>
    <w:rsid w:val="002A1853"/>
    <w:rsid w:val="003A39B4"/>
    <w:rsid w:val="003E5C85"/>
    <w:rsid w:val="00482279"/>
    <w:rsid w:val="004C213D"/>
    <w:rsid w:val="004F282A"/>
    <w:rsid w:val="00566B76"/>
    <w:rsid w:val="00704FC2"/>
    <w:rsid w:val="007356D2"/>
    <w:rsid w:val="00792472"/>
    <w:rsid w:val="0080050A"/>
    <w:rsid w:val="00821C97"/>
    <w:rsid w:val="008B467C"/>
    <w:rsid w:val="009305D7"/>
    <w:rsid w:val="009C0C7F"/>
    <w:rsid w:val="00A64FE5"/>
    <w:rsid w:val="00AC7FF1"/>
    <w:rsid w:val="00AD60AE"/>
    <w:rsid w:val="00B22447"/>
    <w:rsid w:val="00B23632"/>
    <w:rsid w:val="00CA5E44"/>
    <w:rsid w:val="00CB2DEA"/>
    <w:rsid w:val="00D22FB3"/>
    <w:rsid w:val="00D43507"/>
    <w:rsid w:val="00DB458E"/>
    <w:rsid w:val="00E26800"/>
    <w:rsid w:val="00E708BA"/>
    <w:rsid w:val="00F302A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8B2E8"/>
  <w15:chartTrackingRefBased/>
  <w15:docId w15:val="{22303D66-D2D9-479E-BF94-37DFE674B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472"/>
    <w:pPr>
      <w:ind w:left="720"/>
      <w:contextualSpacing/>
    </w:pPr>
  </w:style>
  <w:style w:type="paragraph" w:styleId="Header">
    <w:name w:val="header"/>
    <w:basedOn w:val="Normal"/>
    <w:link w:val="HeaderChar"/>
    <w:rsid w:val="00AD60AE"/>
    <w:pPr>
      <w:tabs>
        <w:tab w:val="center" w:pos="4536"/>
        <w:tab w:val="right" w:pos="9072"/>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HeaderChar">
    <w:name w:val="Header Char"/>
    <w:basedOn w:val="DefaultParagraphFont"/>
    <w:link w:val="Header"/>
    <w:rsid w:val="00AD60AE"/>
    <w:rPr>
      <w:rFonts w:ascii="Times New Roman" w:eastAsia="Times New Roman" w:hAnsi="Times New Roman" w:cs="Times New Roman"/>
      <w:kern w:val="0"/>
      <w:sz w:val="24"/>
      <w:szCs w:val="24"/>
      <w:lang w:val="en-GB"/>
      <w14:ligatures w14:val="none"/>
    </w:rPr>
  </w:style>
  <w:style w:type="paragraph" w:styleId="NoSpacing">
    <w:name w:val="No Spacing"/>
    <w:link w:val="NoSpacingChar"/>
    <w:uiPriority w:val="1"/>
    <w:qFormat/>
    <w:rsid w:val="003A39B4"/>
    <w:pPr>
      <w:spacing w:after="0" w:line="240" w:lineRule="auto"/>
    </w:pPr>
    <w:rPr>
      <w:rFonts w:ascii="Calibri" w:eastAsia="Batang" w:hAnsi="Calibri" w:cs="Times New Roman"/>
      <w:kern w:val="0"/>
      <w14:ligatures w14:val="none"/>
    </w:rPr>
  </w:style>
  <w:style w:type="table" w:styleId="TableGrid">
    <w:name w:val="Table Grid"/>
    <w:basedOn w:val="TableNormal"/>
    <w:uiPriority w:val="59"/>
    <w:rsid w:val="003A39B4"/>
    <w:pPr>
      <w:spacing w:after="0" w:line="240" w:lineRule="auto"/>
    </w:pPr>
    <w:rPr>
      <w:rFonts w:ascii="Times New Roman" w:eastAsia="Times New Roman" w:hAnsi="Times New Roman" w:cs="Times New Roman"/>
      <w:kern w:val="0"/>
      <w:sz w:val="20"/>
      <w:szCs w:val="20"/>
      <w:lang w:eastAsia="hr-H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NoSpacing"/>
    <w:uiPriority w:val="1"/>
    <w:rsid w:val="00B22447"/>
    <w:rPr>
      <w:rFonts w:ascii="Calibri" w:eastAsia="Batang" w:hAnsi="Calibri" w:cs="Times New Roman"/>
      <w:kern w:val="0"/>
      <w14:ligatures w14:val="none"/>
    </w:rPr>
  </w:style>
  <w:style w:type="table" w:customStyle="1" w:styleId="TableGrid1">
    <w:name w:val="Table Grid1"/>
    <w:basedOn w:val="TableNormal"/>
    <w:next w:val="TableGrid"/>
    <w:uiPriority w:val="59"/>
    <w:rsid w:val="00B22447"/>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878145">
      <w:bodyDiv w:val="1"/>
      <w:marLeft w:val="0"/>
      <w:marRight w:val="0"/>
      <w:marTop w:val="0"/>
      <w:marBottom w:val="0"/>
      <w:divBdr>
        <w:top w:val="none" w:sz="0" w:space="0" w:color="auto"/>
        <w:left w:val="none" w:sz="0" w:space="0" w:color="auto"/>
        <w:bottom w:val="none" w:sz="0" w:space="0" w:color="auto"/>
        <w:right w:val="none" w:sz="0" w:space="0" w:color="auto"/>
      </w:divBdr>
    </w:div>
    <w:div w:id="1147823609">
      <w:bodyDiv w:val="1"/>
      <w:marLeft w:val="0"/>
      <w:marRight w:val="0"/>
      <w:marTop w:val="0"/>
      <w:marBottom w:val="0"/>
      <w:divBdr>
        <w:top w:val="none" w:sz="0" w:space="0" w:color="auto"/>
        <w:left w:val="none" w:sz="0" w:space="0" w:color="auto"/>
        <w:bottom w:val="none" w:sz="0" w:space="0" w:color="auto"/>
        <w:right w:val="none" w:sz="0" w:space="0" w:color="auto"/>
      </w:divBdr>
    </w:div>
    <w:div w:id="2052919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chart" Target="charts/chart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vksta\Dropbox\ZAVR&#352;NI%20RA&#268;UN\2022\ostvarenje-grafovi.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vksta\Dropbox\ZAVR&#352;NI%20RA&#268;UN\2022\ostvarenje-grafovi.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vksta\Dropbox\ZAVR&#352;NI%20RA&#268;UN\2022\ostvarenje-grafovi.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Korisnik\Dropbox\Statistika\2023\2.%20Krk%20mjese&#269;na%20statistika%20intervencija%20UKUPNO.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Korisnik\Dropbox\Statistika\2023\3.%20Opo&#382;areno%20statistik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Users\Korisnik\Dropbox\Statistika\2023\3.%20Opo&#382;areno%20statistika.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C:\Users\Korisnik\Dropbox\Statistika\2023\3.%20Opo&#382;areno%20statistik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hr-HR"/>
              <a:t>Prihodi poslovanja</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sr-Latn-R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14340296004666084"/>
          <c:w val="0.62509142607174106"/>
          <c:h val="0.81030074365704285"/>
        </c:manualLayout>
      </c:layout>
      <c:pie3DChart>
        <c:varyColors val="1"/>
        <c:ser>
          <c:idx val="0"/>
          <c:order val="0"/>
          <c:dPt>
            <c:idx val="0"/>
            <c:bubble3D val="0"/>
            <c:explosion val="9"/>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DE8-4E5F-9D8E-540FEE63C659}"/>
              </c:ext>
            </c:extLst>
          </c:dPt>
          <c:dPt>
            <c:idx val="1"/>
            <c:bubble3D val="0"/>
            <c:explosion val="19"/>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DE8-4E5F-9D8E-540FEE63C659}"/>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DE8-4E5F-9D8E-540FEE63C65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sr-Latn-R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'[ostvarenje-grafovi.xlsx]Sheet1'!$C$21,'[ostvarenje-grafovi.xlsx]Sheet1'!$C$23,'[ostvarenje-grafovi.xlsx]Sheet1'!$C$25</c:f>
              <c:strCache>
                <c:ptCount val="3"/>
                <c:pt idx="0">
                  <c:v>Pomoći iz inozemstva i od subjekata unutar općeg proračuna</c:v>
                </c:pt>
                <c:pt idx="1">
                  <c:v>Prihodi od prodaje proizvoda i roba te pruženih usluga i prihodi od donacija</c:v>
                </c:pt>
                <c:pt idx="2">
                  <c:v>Prihodi iz nadležnog proračuna</c:v>
                </c:pt>
              </c:strCache>
            </c:strRef>
          </c:cat>
          <c:val>
            <c:numRef>
              <c:f>'[ostvarenje-grafovi.xlsx]Sheet1'!$E$21,'[ostvarenje-grafovi.xlsx]Sheet1'!$E$23,'[ostvarenje-grafovi.xlsx]Sheet1'!$E$25</c:f>
              <c:numCache>
                <c:formatCode>0.00%</c:formatCode>
                <c:ptCount val="3"/>
                <c:pt idx="0">
                  <c:v>0.24494082595689187</c:v>
                </c:pt>
                <c:pt idx="1">
                  <c:v>0.10161805824057527</c:v>
                </c:pt>
                <c:pt idx="2">
                  <c:v>0.65344111580253283</c:v>
                </c:pt>
              </c:numCache>
            </c:numRef>
          </c:val>
          <c:extLst>
            <c:ext xmlns:c16="http://schemas.microsoft.com/office/drawing/2014/chart" uri="{C3380CC4-5D6E-409C-BE32-E72D297353CC}">
              <c16:uniqueId val="{00000006-EDE8-4E5F-9D8E-540FEE63C659}"/>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a:t>O</a:t>
            </a:r>
            <a:r>
              <a:rPr lang="hr-HR"/>
              <a:t>stvarenje rashoda</a:t>
            </a:r>
            <a:endParaRPr lang="en-US"/>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sr-Latn-RS"/>
        </a:p>
      </c:txPr>
    </c:title>
    <c:autoTitleDeleted val="0"/>
    <c:view3D>
      <c:rotX val="15"/>
      <c:rotY val="20"/>
      <c:depthPercent val="100"/>
      <c:rAngAx val="0"/>
    </c:view3D>
    <c:floor>
      <c:thickness val="0"/>
      <c:spPr>
        <a:solidFill>
          <a:schemeClr val="accent1">
            <a:alpha val="30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0555555555555555E-2"/>
          <c:y val="0.24252244120656374"/>
          <c:w val="0.96666666666666667"/>
          <c:h val="0.65233201566642118"/>
        </c:manualLayout>
      </c:layout>
      <c:bar3DChart>
        <c:barDir val="col"/>
        <c:grouping val="clustered"/>
        <c:varyColors val="0"/>
        <c:ser>
          <c:idx val="0"/>
          <c:order val="0"/>
          <c:spPr>
            <a:solidFill>
              <a:schemeClr val="accent1">
                <a:lumMod val="20000"/>
                <a:lumOff val="80000"/>
              </a:schemeClr>
            </a:solidFill>
            <a:ln>
              <a:noFill/>
            </a:ln>
            <a:effectLst/>
            <a:sp3d/>
          </c:spPr>
          <c:invertIfNegative val="0"/>
          <c:dLbls>
            <c:spPr>
              <a:solidFill>
                <a:schemeClr val="accent1">
                  <a:alpha val="7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sr-Latn-R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strRef>
              <c:f>'[ostvarenje-grafovi.xlsx]Sheet1'!$C$46,'[ostvarenje-grafovi.xlsx]Sheet1'!$C$62,'[ostvarenje-grafovi.xlsx]Sheet1'!$C$62</c:f>
              <c:strCache>
                <c:ptCount val="3"/>
                <c:pt idx="0">
                  <c:v>RASHODI POSLOVANJA</c:v>
                </c:pt>
                <c:pt idx="1">
                  <c:v>RASHODI ZA NABAVU NEFINANCIJSKE IMOVINE</c:v>
                </c:pt>
                <c:pt idx="2">
                  <c:v>RASHODI ZA NABAVU NEFINANCIJSKE IMOVINE</c:v>
                </c:pt>
              </c:strCache>
            </c:strRef>
          </c:cat>
          <c:val>
            <c:numRef>
              <c:f>'[ostvarenje-grafovi.xlsx]Sheet1'!$E$46,'[ostvarenje-grafovi.xlsx]Sheet1'!$E$62</c:f>
              <c:numCache>
                <c:formatCode>0.00%</c:formatCode>
                <c:ptCount val="2"/>
                <c:pt idx="0">
                  <c:v>0.96172688323354238</c:v>
                </c:pt>
                <c:pt idx="1">
                  <c:v>3.8273116766457602E-2</c:v>
                </c:pt>
              </c:numCache>
            </c:numRef>
          </c:val>
          <c:shape val="coneToMax"/>
          <c:extLst>
            <c:ext xmlns:c16="http://schemas.microsoft.com/office/drawing/2014/chart" uri="{C3380CC4-5D6E-409C-BE32-E72D297353CC}">
              <c16:uniqueId val="{00000000-3D68-4D2C-A2A0-CE67FDA29369}"/>
            </c:ext>
          </c:extLst>
        </c:ser>
        <c:dLbls>
          <c:showLegendKey val="0"/>
          <c:showVal val="1"/>
          <c:showCatName val="0"/>
          <c:showSerName val="0"/>
          <c:showPercent val="0"/>
          <c:showBubbleSize val="0"/>
        </c:dLbls>
        <c:gapWidth val="154"/>
        <c:gapDepth val="0"/>
        <c:shape val="box"/>
        <c:axId val="1961782976"/>
        <c:axId val="1961777696"/>
        <c:axId val="0"/>
      </c:bar3DChart>
      <c:catAx>
        <c:axId val="1961782976"/>
        <c:scaling>
          <c:orientation val="minMax"/>
        </c:scaling>
        <c:delete val="0"/>
        <c:axPos val="b"/>
        <c:majorGridlines>
          <c:spPr>
            <a:ln w="9525" cap="flat" cmpd="sng" algn="ctr">
              <a:solidFill>
                <a:schemeClr val="lt1">
                  <a:lumMod val="60000"/>
                  <a:lumOff val="4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all" spc="150" normalizeH="0" baseline="0">
                <a:solidFill>
                  <a:schemeClr val="lt1"/>
                </a:solidFill>
                <a:latin typeface="+mn-lt"/>
                <a:ea typeface="+mn-ea"/>
                <a:cs typeface="+mn-cs"/>
              </a:defRPr>
            </a:pPr>
            <a:endParaRPr lang="sr-Latn-RS"/>
          </a:p>
        </c:txPr>
        <c:crossAx val="1961777696"/>
        <c:crosses val="autoZero"/>
        <c:auto val="1"/>
        <c:lblAlgn val="ctr"/>
        <c:lblOffset val="100"/>
        <c:noMultiLvlLbl val="0"/>
      </c:catAx>
      <c:valAx>
        <c:axId val="1961777696"/>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sr-Latn-RS"/>
          </a:p>
        </c:txPr>
        <c:crossAx val="19617829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1"/>
    </a:solidFill>
    <a:ln w="9525" cap="flat" cmpd="sng" algn="ctr">
      <a:solidFill>
        <a:schemeClr val="accent1"/>
      </a:solidFill>
      <a:round/>
    </a:ln>
    <a:effectLst/>
  </c:spPr>
  <c:txPr>
    <a:bodyPr/>
    <a:lstStyle/>
    <a:p>
      <a:pPr>
        <a:defRPr/>
      </a:pPr>
      <a:endParaRPr lang="sr-Latn-R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hr-HR"/>
              <a:t>Ostvarenje financijskog plana po izvorima</a:t>
            </a:r>
          </a:p>
          <a:p>
            <a:pPr>
              <a:defRPr/>
            </a:pP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sr-Latn-R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1-C299-4E20-84F8-3BF19CE994F8}"/>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3-C299-4E20-84F8-3BF19CE994F8}"/>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5-C299-4E20-84F8-3BF19CE994F8}"/>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7-C299-4E20-84F8-3BF19CE994F8}"/>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9-C299-4E20-84F8-3BF19CE994F8}"/>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B-C299-4E20-84F8-3BF19CE994F8}"/>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D-C299-4E20-84F8-3BF19CE994F8}"/>
              </c:ext>
            </c:extLst>
          </c:dPt>
          <c:dPt>
            <c:idx val="7"/>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F-C299-4E20-84F8-3BF19CE994F8}"/>
              </c:ext>
            </c:extLst>
          </c:dPt>
          <c:dPt>
            <c:idx val="8"/>
            <c:bubble3D val="0"/>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11-C299-4E20-84F8-3BF19CE994F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sr-Latn-R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'[ostvarenje-grafovi.xlsx]Sheet1'!$C$94,'[ostvarenje-grafovi.xlsx]Sheet1'!$C$95:$C$102</c:f>
              <c:strCache>
                <c:ptCount val="9"/>
                <c:pt idx="0">
                  <c:v>Opći prihodi i primici</c:v>
                </c:pt>
                <c:pt idx="1">
                  <c:v>Vlastiti prihodi</c:v>
                </c:pt>
                <c:pt idx="2">
                  <c:v>Donacije-sufinanciranje plaće od PVZ-a otoka Krka </c:v>
                </c:pt>
                <c:pt idx="3">
                  <c:v>Višak prihoda od dec.funkcija</c:v>
                </c:pt>
                <c:pt idx="4">
                  <c:v>Decentralizirane funkcije vatrogastva</c:v>
                </c:pt>
                <c:pt idx="5">
                  <c:v>Ostale pomoći</c:v>
                </c:pt>
                <c:pt idx="6">
                  <c:v>Pomoći otočke općine</c:v>
                </c:pt>
                <c:pt idx="7">
                  <c:v>Donacije PVZ-a otoka Krka</c:v>
                </c:pt>
                <c:pt idx="8">
                  <c:v>Višak prihoda-donacije</c:v>
                </c:pt>
              </c:strCache>
            </c:strRef>
          </c:cat>
          <c:val>
            <c:numRef>
              <c:f>'[ostvarenje-grafovi.xlsx]Sheet1'!$E$94,'[ostvarenje-grafovi.xlsx]Sheet1'!$E$95,'[ostvarenje-grafovi.xlsx]Sheet1'!$E$96,'[ostvarenje-grafovi.xlsx]Sheet1'!$E$97,'[ostvarenje-grafovi.xlsx]Sheet1'!$E$98,'[ostvarenje-grafovi.xlsx]Sheet1'!$E$99,'[ostvarenje-grafovi.xlsx]Sheet1'!$E$100,'[ostvarenje-grafovi.xlsx]Sheet1'!$E$101,'[ostvarenje-grafovi.xlsx]Sheet1'!$E$102</c:f>
              <c:numCache>
                <c:formatCode>0.00%</c:formatCode>
                <c:ptCount val="9"/>
                <c:pt idx="0">
                  <c:v>0.10868941139412219</c:v>
                </c:pt>
                <c:pt idx="1">
                  <c:v>1.0729752509541023E-2</c:v>
                </c:pt>
                <c:pt idx="2">
                  <c:v>0.12462600453885031</c:v>
                </c:pt>
                <c:pt idx="3">
                  <c:v>2.1236338416612431E-3</c:v>
                </c:pt>
                <c:pt idx="4">
                  <c:v>0.41746706644655812</c:v>
                </c:pt>
                <c:pt idx="5">
                  <c:v>4.6684628808944847E-2</c:v>
                </c:pt>
                <c:pt idx="6">
                  <c:v>0.19692503353824803</c:v>
                </c:pt>
                <c:pt idx="7">
                  <c:v>7.9602680045194982E-2</c:v>
                </c:pt>
                <c:pt idx="8">
                  <c:v>1.3151788876879157E-2</c:v>
                </c:pt>
              </c:numCache>
            </c:numRef>
          </c:val>
          <c:extLst>
            <c:ext xmlns:c16="http://schemas.microsoft.com/office/drawing/2014/chart" uri="{C3380CC4-5D6E-409C-BE32-E72D297353CC}">
              <c16:uniqueId val="{00000012-C299-4E20-84F8-3BF19CE994F8}"/>
            </c:ext>
          </c:extLst>
        </c:ser>
        <c:dLbls>
          <c:dLblPos val="bestFit"/>
          <c:showLegendKey val="0"/>
          <c:showVal val="1"/>
          <c:showCatName val="0"/>
          <c:showSerName val="0"/>
          <c:showPercent val="0"/>
          <c:showBubbleSize val="0"/>
          <c:showLeaderLines val="1"/>
        </c:dLbls>
      </c:pie3DChart>
      <c:spPr>
        <a:noFill/>
        <a:ln>
          <a:noFill/>
        </a:ln>
        <a:effectLst/>
      </c:spPr>
    </c:plotArea>
    <c:legend>
      <c:legendPos val="b"/>
      <c:layout>
        <c:manualLayout>
          <c:xMode val="edge"/>
          <c:yMode val="edge"/>
          <c:x val="0.10458030997509647"/>
          <c:y val="0.67447598974907375"/>
          <c:w val="0.81919756853255465"/>
          <c:h val="0.3035478517872500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sr-Latn-R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800" b="1" i="0" u="none" strike="noStrike" kern="1200" baseline="0">
                <a:solidFill>
                  <a:schemeClr val="dk1">
                    <a:lumMod val="75000"/>
                    <a:lumOff val="25000"/>
                  </a:schemeClr>
                </a:solidFill>
                <a:latin typeface="+mn-lt"/>
                <a:ea typeface="+mn-ea"/>
                <a:cs typeface="+mn-cs"/>
              </a:defRPr>
            </a:pPr>
            <a:r>
              <a:rPr lang="en-US" sz="1600"/>
              <a:t>USPOREDBA INTERVENCIJA 202</a:t>
            </a:r>
            <a:r>
              <a:rPr lang="hr-HR" sz="1600"/>
              <a:t>2</a:t>
            </a:r>
            <a:r>
              <a:rPr lang="en-US" sz="1600"/>
              <a:t>. I 202</a:t>
            </a:r>
            <a:r>
              <a:rPr lang="hr-HR" sz="1600"/>
              <a:t>3.</a:t>
            </a:r>
            <a:r>
              <a:rPr lang="en-US" sz="1600"/>
              <a:t> GODINA</a:t>
            </a:r>
          </a:p>
        </c:rich>
      </c:tx>
      <c:layout>
        <c:manualLayout>
          <c:xMode val="edge"/>
          <c:yMode val="edge"/>
          <c:x val="0.11215025956806945"/>
          <c:y val="1.7738355072517746E-2"/>
        </c:manualLayout>
      </c:layout>
      <c:overlay val="0"/>
      <c:spPr>
        <a:noFill/>
        <a:ln>
          <a:noFill/>
        </a:ln>
        <a:effectLst/>
      </c:spPr>
      <c:txPr>
        <a:bodyPr rot="0" spcFirstLastPara="1" vertOverflow="ellipsis" vert="horz" wrap="square" anchor="ctr" anchorCtr="1"/>
        <a:lstStyle/>
        <a:p>
          <a:pPr algn="ctr">
            <a:defRPr sz="1800" b="1" i="0" u="none" strike="noStrike" kern="1200" baseline="0">
              <a:solidFill>
                <a:schemeClr val="dk1">
                  <a:lumMod val="75000"/>
                  <a:lumOff val="25000"/>
                </a:schemeClr>
              </a:solidFill>
              <a:latin typeface="+mn-lt"/>
              <a:ea typeface="+mn-ea"/>
              <a:cs typeface="+mn-cs"/>
            </a:defRPr>
          </a:pPr>
          <a:endParaRPr lang="sr-Latn-RS"/>
        </a:p>
      </c:txPr>
    </c:title>
    <c:autoTitleDeleted val="0"/>
    <c:plotArea>
      <c:layout/>
      <c:barChart>
        <c:barDir val="col"/>
        <c:grouping val="clustered"/>
        <c:varyColors val="0"/>
        <c:ser>
          <c:idx val="0"/>
          <c:order val="0"/>
          <c:tx>
            <c:strRef>
              <c:f>'2023'!$N$3</c:f>
              <c:strCache>
                <c:ptCount val="1"/>
                <c:pt idx="0">
                  <c:v>2022.</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sr-Latn-R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'2023'!$M$4:$M$7</c:f>
              <c:strCache>
                <c:ptCount val="4"/>
                <c:pt idx="0">
                  <c:v>POŽARI</c:v>
                </c:pt>
                <c:pt idx="1">
                  <c:v>TEHNIČKE</c:v>
                </c:pt>
                <c:pt idx="2">
                  <c:v>OSTALO</c:v>
                </c:pt>
                <c:pt idx="3">
                  <c:v>UKUPNO</c:v>
                </c:pt>
              </c:strCache>
            </c:strRef>
          </c:cat>
          <c:val>
            <c:numRef>
              <c:f>'2023'!$N$4:$N$7</c:f>
              <c:numCache>
                <c:formatCode>General</c:formatCode>
                <c:ptCount val="4"/>
                <c:pt idx="0">
                  <c:v>98</c:v>
                </c:pt>
                <c:pt idx="1">
                  <c:v>235</c:v>
                </c:pt>
                <c:pt idx="2">
                  <c:v>65</c:v>
                </c:pt>
                <c:pt idx="3">
                  <c:v>398</c:v>
                </c:pt>
              </c:numCache>
            </c:numRef>
          </c:val>
          <c:extLst>
            <c:ext xmlns:c16="http://schemas.microsoft.com/office/drawing/2014/chart" uri="{C3380CC4-5D6E-409C-BE32-E72D297353CC}">
              <c16:uniqueId val="{00000000-8F31-4ACA-BFFC-655C16B68326}"/>
            </c:ext>
          </c:extLst>
        </c:ser>
        <c:ser>
          <c:idx val="1"/>
          <c:order val="1"/>
          <c:tx>
            <c:strRef>
              <c:f>'2023'!$O$3</c:f>
              <c:strCache>
                <c:ptCount val="1"/>
                <c:pt idx="0">
                  <c:v>2023.</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sr-Latn-R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'2023'!$M$4:$M$7</c:f>
              <c:strCache>
                <c:ptCount val="4"/>
                <c:pt idx="0">
                  <c:v>POŽARI</c:v>
                </c:pt>
                <c:pt idx="1">
                  <c:v>TEHNIČKE</c:v>
                </c:pt>
                <c:pt idx="2">
                  <c:v>OSTALO</c:v>
                </c:pt>
                <c:pt idx="3">
                  <c:v>UKUPNO</c:v>
                </c:pt>
              </c:strCache>
            </c:strRef>
          </c:cat>
          <c:val>
            <c:numRef>
              <c:f>'2023'!$O$4:$O$7</c:f>
              <c:numCache>
                <c:formatCode>General</c:formatCode>
                <c:ptCount val="4"/>
                <c:pt idx="0">
                  <c:v>71</c:v>
                </c:pt>
                <c:pt idx="1">
                  <c:v>201</c:v>
                </c:pt>
                <c:pt idx="2">
                  <c:v>77</c:v>
                </c:pt>
                <c:pt idx="3">
                  <c:v>349</c:v>
                </c:pt>
              </c:numCache>
            </c:numRef>
          </c:val>
          <c:extLst>
            <c:ext xmlns:c16="http://schemas.microsoft.com/office/drawing/2014/chart" uri="{C3380CC4-5D6E-409C-BE32-E72D297353CC}">
              <c16:uniqueId val="{00000001-8F31-4ACA-BFFC-655C16B68326}"/>
            </c:ext>
          </c:extLst>
        </c:ser>
        <c:dLbls>
          <c:dLblPos val="inEnd"/>
          <c:showLegendKey val="0"/>
          <c:showVal val="1"/>
          <c:showCatName val="0"/>
          <c:showSerName val="0"/>
          <c:showPercent val="0"/>
          <c:showBubbleSize val="0"/>
        </c:dLbls>
        <c:gapWidth val="65"/>
        <c:axId val="1813906960"/>
        <c:axId val="1813905712"/>
      </c:barChart>
      <c:catAx>
        <c:axId val="181390696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sr-Latn-RS"/>
          </a:p>
        </c:txPr>
        <c:crossAx val="1813905712"/>
        <c:crosses val="autoZero"/>
        <c:auto val="1"/>
        <c:lblAlgn val="ctr"/>
        <c:lblOffset val="100"/>
        <c:noMultiLvlLbl val="0"/>
      </c:catAx>
      <c:valAx>
        <c:axId val="181390571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81390696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sr-Latn-R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hr-HR"/>
              <a:t>POŽARI PO</a:t>
            </a:r>
            <a:r>
              <a:rPr lang="hr-HR" baseline="0"/>
              <a:t> MJESTU NASTANKA</a:t>
            </a:r>
            <a:endParaRPr lang="hr-H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sr-Latn-R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1111025141352068E-2"/>
          <c:y val="0.22835216519920828"/>
          <c:w val="0.93888888888888888"/>
          <c:h val="0.44402559055118113"/>
        </c:manualLayout>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5A94-43F9-AEF2-75E73C037F1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5A94-43F9-AEF2-75E73C037F1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5A94-43F9-AEF2-75E73C037F1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5A94-43F9-AEF2-75E73C037F18}"/>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5A94-43F9-AEF2-75E73C037F18}"/>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5A94-43F9-AEF2-75E73C037F18}"/>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D-5A94-43F9-AEF2-75E73C037F18}"/>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F-5A94-43F9-AEF2-75E73C037F18}"/>
              </c:ext>
            </c:extLst>
          </c:dPt>
          <c:dPt>
            <c:idx val="8"/>
            <c:bubble3D val="0"/>
            <c:spPr>
              <a:solidFill>
                <a:schemeClr val="accent3">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1-5A94-43F9-AEF2-75E73C037F18}"/>
              </c:ext>
            </c:extLst>
          </c:dPt>
          <c:dPt>
            <c:idx val="9"/>
            <c:bubble3D val="0"/>
            <c:spPr>
              <a:solidFill>
                <a:schemeClr val="accent4">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3-5A94-43F9-AEF2-75E73C037F18}"/>
              </c:ext>
            </c:extLst>
          </c:dPt>
          <c:dPt>
            <c:idx val="10"/>
            <c:bubble3D val="0"/>
            <c:spPr>
              <a:solidFill>
                <a:schemeClr val="accent5">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5-5A94-43F9-AEF2-75E73C037F1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sr-Latn-RS"/>
              </a:p>
            </c:txPr>
            <c:dLblPos val="bestFit"/>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Statistika!$B$8:$B$18</c:f>
              <c:strCache>
                <c:ptCount val="11"/>
                <c:pt idx="0">
                  <c:v>DIMNJACI</c:v>
                </c:pt>
                <c:pt idx="1">
                  <c:v>STAMBENI OBJEKTI</c:v>
                </c:pt>
                <c:pt idx="2">
                  <c:v>HOTELI, TRGOVINE, ŠKOLE, ZDRAVSTVO</c:v>
                </c:pt>
                <c:pt idx="3">
                  <c:v>UREDSKI PROSTORI, UPRAVA</c:v>
                </c:pt>
                <c:pt idx="4">
                  <c:v>INDUSTRIJSKI OBJEKTI</c:v>
                </c:pt>
                <c:pt idx="5">
                  <c:v>ELEKTROENERGETSKA POSTROJENJA</c:v>
                </c:pt>
                <c:pt idx="6">
                  <c:v>OSTALI GRAĐEVINSKI OBJEKTI</c:v>
                </c:pt>
                <c:pt idx="7">
                  <c:v>PROMETNA SREDSTVA</c:v>
                </c:pt>
                <c:pt idx="8">
                  <c:v>OTVORENI PROSTOR, ŠUMA</c:v>
                </c:pt>
                <c:pt idx="9">
                  <c:v>KONTEJNERI ZA OTPAD</c:v>
                </c:pt>
                <c:pt idx="10">
                  <c:v>OSTALO</c:v>
                </c:pt>
              </c:strCache>
            </c:strRef>
          </c:cat>
          <c:val>
            <c:numRef>
              <c:f>Statistika!$J$8:$J$18</c:f>
              <c:numCache>
                <c:formatCode>General</c:formatCode>
                <c:ptCount val="11"/>
                <c:pt idx="0">
                  <c:v>4</c:v>
                </c:pt>
                <c:pt idx="1">
                  <c:v>12</c:v>
                </c:pt>
                <c:pt idx="2">
                  <c:v>0</c:v>
                </c:pt>
                <c:pt idx="3">
                  <c:v>1</c:v>
                </c:pt>
                <c:pt idx="4">
                  <c:v>0</c:v>
                </c:pt>
                <c:pt idx="5">
                  <c:v>2</c:v>
                </c:pt>
                <c:pt idx="6">
                  <c:v>4</c:v>
                </c:pt>
                <c:pt idx="7">
                  <c:v>8</c:v>
                </c:pt>
                <c:pt idx="8">
                  <c:v>30</c:v>
                </c:pt>
                <c:pt idx="9">
                  <c:v>8</c:v>
                </c:pt>
                <c:pt idx="10">
                  <c:v>2</c:v>
                </c:pt>
              </c:numCache>
            </c:numRef>
          </c:val>
          <c:extLst>
            <c:ext xmlns:c16="http://schemas.microsoft.com/office/drawing/2014/chart" uri="{C3380CC4-5D6E-409C-BE32-E72D297353CC}">
              <c16:uniqueId val="{00000016-5A94-43F9-AEF2-75E73C037F18}"/>
            </c:ext>
          </c:extLst>
        </c:ser>
        <c:dLbls>
          <c:dLblPos val="bestFit"/>
          <c:showLegendKey val="0"/>
          <c:showVal val="1"/>
          <c:showCatName val="0"/>
          <c:showSerName val="0"/>
          <c:showPercent val="0"/>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sr-Latn-R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TEHNIČKE INTERVENCIJE PO MJESTU </a:t>
            </a:r>
            <a:r>
              <a:rPr lang="hr-HR"/>
              <a:t>NASTANKA</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sr-Latn-R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395-47B0-B859-39DB1EB204E4}"/>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395-47B0-B859-39DB1EB204E4}"/>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D395-47B0-B859-39DB1EB204E4}"/>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D395-47B0-B859-39DB1EB204E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sr-Latn-RS"/>
              </a:p>
            </c:txPr>
            <c:dLblPos val="bestFit"/>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Statistika!$S$37:$S$40</c:f>
              <c:strCache>
                <c:ptCount val="4"/>
                <c:pt idx="0">
                  <c:v>NA GRAĐEVINAMA</c:v>
                </c:pt>
                <c:pt idx="1">
                  <c:v>NA OTVORENOM</c:v>
                </c:pt>
                <c:pt idx="2">
                  <c:v>U PROMETU</c:v>
                </c:pt>
                <c:pt idx="3">
                  <c:v>AKCIDENTI</c:v>
                </c:pt>
              </c:strCache>
            </c:strRef>
          </c:cat>
          <c:val>
            <c:numRef>
              <c:f>Statistika!$U$37:$U$40</c:f>
              <c:numCache>
                <c:formatCode>General</c:formatCode>
                <c:ptCount val="4"/>
                <c:pt idx="0">
                  <c:v>73</c:v>
                </c:pt>
                <c:pt idx="1">
                  <c:v>90</c:v>
                </c:pt>
                <c:pt idx="2">
                  <c:v>35</c:v>
                </c:pt>
                <c:pt idx="3">
                  <c:v>3</c:v>
                </c:pt>
              </c:numCache>
            </c:numRef>
          </c:val>
          <c:extLst>
            <c:ext xmlns:c16="http://schemas.microsoft.com/office/drawing/2014/chart" uri="{C3380CC4-5D6E-409C-BE32-E72D297353CC}">
              <c16:uniqueId val="{00000008-D395-47B0-B859-39DB1EB204E4}"/>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sr-Latn-R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INTERVENCIJE PO JLS OTOKA KRKA</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sr-Latn-R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B17-4111-B0E7-5851A04903F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B17-4111-B0E7-5851A04903F7}"/>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4B17-4111-B0E7-5851A04903F7}"/>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4B17-4111-B0E7-5851A04903F7}"/>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4B17-4111-B0E7-5851A04903F7}"/>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4B17-4111-B0E7-5851A04903F7}"/>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D-4B17-4111-B0E7-5851A04903F7}"/>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F-4B17-4111-B0E7-5851A04903F7}"/>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sr-Latn-RS"/>
              </a:p>
            </c:txPr>
            <c:dLblPos val="outEnd"/>
            <c:showLegendKey val="0"/>
            <c:showVal val="1"/>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s>
          <c:cat>
            <c:strRef>
              <c:f>Statistika!$C$83:$J$83</c:f>
              <c:strCache>
                <c:ptCount val="8"/>
                <c:pt idx="0">
                  <c:v>Grad Krk</c:v>
                </c:pt>
                <c:pt idx="1">
                  <c:v>Općina Punat</c:v>
                </c:pt>
                <c:pt idx="2">
                  <c:v>Općina Baška</c:v>
                </c:pt>
                <c:pt idx="3">
                  <c:v>Općina Omišalj</c:v>
                </c:pt>
                <c:pt idx="4">
                  <c:v>Općina Vrbnik</c:v>
                </c:pt>
                <c:pt idx="5">
                  <c:v>Općina Dobrinj</c:v>
                </c:pt>
                <c:pt idx="6">
                  <c:v>Općina Malinska</c:v>
                </c:pt>
                <c:pt idx="7">
                  <c:v>Dislokacije 2023.</c:v>
                </c:pt>
              </c:strCache>
            </c:strRef>
          </c:cat>
          <c:val>
            <c:numRef>
              <c:f>Statistika!$C$84:$J$84</c:f>
              <c:numCache>
                <c:formatCode>General</c:formatCode>
                <c:ptCount val="8"/>
                <c:pt idx="0">
                  <c:v>88</c:v>
                </c:pt>
                <c:pt idx="1">
                  <c:v>34</c:v>
                </c:pt>
                <c:pt idx="2">
                  <c:v>13</c:v>
                </c:pt>
                <c:pt idx="3">
                  <c:v>104</c:v>
                </c:pt>
                <c:pt idx="4">
                  <c:v>16</c:v>
                </c:pt>
                <c:pt idx="5">
                  <c:v>40</c:v>
                </c:pt>
                <c:pt idx="6">
                  <c:v>54</c:v>
                </c:pt>
                <c:pt idx="7">
                  <c:v>0</c:v>
                </c:pt>
              </c:numCache>
            </c:numRef>
          </c:val>
          <c:extLst>
            <c:ext xmlns:c16="http://schemas.microsoft.com/office/drawing/2014/chart" uri="{C3380CC4-5D6E-409C-BE32-E72D297353CC}">
              <c16:uniqueId val="{00000010-4B17-4111-B0E7-5851A04903F7}"/>
            </c:ext>
          </c:extLst>
        </c:ser>
        <c:dLbls>
          <c:showLegendKey val="0"/>
          <c:showVal val="0"/>
          <c:showCatName val="0"/>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sr-Latn-R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5">
  <cs:axisTitle>
    <cs:lnRef idx="0"/>
    <cs:fillRef idx="0"/>
    <cs:effectRef idx="0"/>
    <cs:fontRef idx="minor">
      <a:schemeClr val="lt1"/>
    </cs:fontRef>
    <cs:defRPr sz="900" b="1" kern="1200"/>
  </cs:axisTitle>
  <cs:categoryAxis>
    <cs:lnRef idx="0">
      <cs:styleClr val="0"/>
    </cs:lnRef>
    <cs:fillRef idx="0"/>
    <cs:effectRef idx="0"/>
    <cs:fontRef idx="minor">
      <a:schemeClr val="lt1"/>
    </cs:fontRef>
    <cs:defRPr sz="9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lumMod val="20000"/>
          <a:lumOff val="80000"/>
        </a:schemeClr>
      </a:solidFill>
    </cs:spPr>
  </cs:dataPoint>
  <cs:dataPoint3D>
    <cs:lnRef idx="0"/>
    <cs:fillRef idx="0">
      <cs:styleClr val="auto"/>
    </cs:fillRef>
    <cs:effectRef idx="0"/>
    <cs:fontRef idx="minor">
      <a:schemeClr val="dk1"/>
    </cs:fontRef>
    <cs:spPr>
      <a:solidFill>
        <a:schemeClr val="phClr">
          <a:lumMod val="20000"/>
          <a:lumOff val="80000"/>
        </a:schemeClr>
      </a:solidFill>
      <a:sp3d/>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styleClr val="0"/>
    </cs:fillRef>
    <cs:effectRef idx="0"/>
    <cs:fontRef idx="minor">
      <a:schemeClr val="dk1"/>
    </cs:fontRef>
    <cs:spPr>
      <a:solidFill>
        <a:schemeClr val="phClr">
          <a:alpha val="30000"/>
        </a:schemeClr>
      </a:solidFill>
      <a:sp3d/>
    </cs:spPr>
  </cs:floor>
  <cs:gridlineMajor>
    <cs:lnRef idx="0">
      <cs:styleClr val="0"/>
    </cs:lnRef>
    <cs:fillRef idx="0"/>
    <cs:effectRef idx="0"/>
    <cs:fontRef idx="minor">
      <a:schemeClr val="dk1"/>
    </cs:fontRef>
    <cs:spPr>
      <a:ln w="9525" cap="flat" cmpd="sng" algn="ctr">
        <a:solidFill>
          <a:schemeClr val="lt1">
            <a:lumMod val="60000"/>
            <a:lumOff val="40000"/>
          </a:schemeClr>
        </a:solidFill>
        <a:round/>
      </a:ln>
    </cs:spPr>
  </cs:gridlineMajor>
  <cs:gridlineMinor>
    <cs:lnRef idx="0">
      <cs:styleClr val="0"/>
    </cs:lnRef>
    <cs:fillRef idx="0"/>
    <cs:effectRef idx="0"/>
    <cs:fontRef idx="minor">
      <a:schemeClr val="dk1"/>
    </cs:fontRef>
    <cs:spPr>
      <a:ln>
        <a:solidFill>
          <a:schemeClr val="lt1">
            <a:lumMod val="50000"/>
            <a:lumOff val="5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5B19C-91CB-43AA-83DB-9C77B577B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30</Pages>
  <Words>11406</Words>
  <Characters>65018</Characters>
  <Application>Microsoft Office Word</Application>
  <DocSecurity>0</DocSecurity>
  <Lines>541</Lines>
  <Paragraphs>152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76272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Javna Vatrogasna Postrojba Krk</dc:creator>
  <cp:keywords/>
  <dc:description/>
  <cp:lastModifiedBy>vksta</cp:lastModifiedBy>
  <cp:revision>10</cp:revision>
  <cp:lastPrinted>2024-03-21T11:45:00Z</cp:lastPrinted>
  <dcterms:created xsi:type="dcterms:W3CDTF">2024-03-21T11:10:00Z</dcterms:created>
  <dcterms:modified xsi:type="dcterms:W3CDTF">2024-04-10T09:56:00Z</dcterms:modified>
</cp:coreProperties>
</file>